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F2" w:rsidRPr="00283158" w:rsidRDefault="00AA67F2" w:rsidP="00AA67F2">
      <w:pPr>
        <w:pStyle w:val="Prrafodelista"/>
        <w:ind w:left="0"/>
        <w:jc w:val="center"/>
        <w:outlineLvl w:val="0"/>
        <w:rPr>
          <w:rFonts w:ascii="Arial" w:hAnsi="Arial" w:cs="Arial"/>
          <w:b/>
        </w:rPr>
      </w:pPr>
      <w:bookmarkStart w:id="0" w:name="_Toc255555183"/>
      <w:r>
        <w:rPr>
          <w:rFonts w:ascii="Arial" w:hAnsi="Arial" w:cs="Arial"/>
          <w:b/>
        </w:rPr>
        <w:t xml:space="preserve">8. </w:t>
      </w:r>
      <w:r w:rsidRPr="00283158">
        <w:rPr>
          <w:rFonts w:ascii="Arial" w:hAnsi="Arial" w:cs="Arial"/>
          <w:b/>
        </w:rPr>
        <w:t xml:space="preserve">DISEÑO DEL SISTEMA DE CONTROL Y EVALUACIÓN DEL PLAN </w:t>
      </w:r>
      <w:r>
        <w:rPr>
          <w:rFonts w:ascii="Arial" w:hAnsi="Arial" w:cs="Arial"/>
          <w:b/>
        </w:rPr>
        <w:t>E</w:t>
      </w:r>
      <w:r w:rsidRPr="00283158">
        <w:rPr>
          <w:rFonts w:ascii="Arial" w:hAnsi="Arial" w:cs="Arial"/>
          <w:b/>
        </w:rPr>
        <w:t>STRATÉGICO</w:t>
      </w:r>
      <w:bookmarkEnd w:id="0"/>
    </w:p>
    <w:p w:rsidR="00AA67F2" w:rsidRPr="00283158" w:rsidRDefault="00AA67F2" w:rsidP="00AA67F2">
      <w:pPr>
        <w:pStyle w:val="Prrafodelista"/>
        <w:ind w:left="360"/>
        <w:rPr>
          <w:rFonts w:ascii="Arial" w:hAnsi="Arial" w:cs="Arial"/>
          <w:b/>
        </w:rPr>
      </w:pP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En el presente apartado, se pretende formular un sistema de control y evaluación a partir de indcadores, que permitan medir y direccionar el desem</w:t>
      </w:r>
      <w:r>
        <w:rPr>
          <w:rFonts w:ascii="Arial" w:hAnsi="Arial" w:cs="Arial"/>
        </w:rPr>
        <w:t>p</w:t>
      </w:r>
      <w:r w:rsidRPr="009032D8">
        <w:rPr>
          <w:rFonts w:ascii="Arial" w:hAnsi="Arial" w:cs="Arial"/>
        </w:rPr>
        <w:t>eño en la aplicación del Plan Estratégico que aquí se presenta.  La metodología elegida para este propósito, es el Balanced Score Card (BSC) o Cuadro de Mando Integral (CMI), que originalmente fuera propuesto por Robert Kaplan y David Norton a principios de los años 90’, como un sistema de gestión, que busca integrar la visión financiera a la administración operacional de los negocios, a partir de su alieación con la estrategia, entendida esta última, como la misión y visión organizacionales.</w:t>
      </w: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El Balanced Score Card (en adelante BSC), es un sistema que provee a la administración y a los empleados en general, de herramientas financieras y no financieras para vigilar y mejorar la marcha de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tanto en el corto, como en el largo plazo, brindando una visión proyectada desde cuatro distintas perspectivas:</w:t>
      </w: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Perspectiva del Cliente o Consumidor</w:t>
      </w:r>
    </w:p>
    <w:p w:rsidR="00AA67F2" w:rsidRPr="009032D8" w:rsidRDefault="00AA67F2" w:rsidP="00AA67F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Perspectiva Interna</w:t>
      </w:r>
    </w:p>
    <w:p w:rsidR="00AA67F2" w:rsidRPr="009032D8" w:rsidRDefault="00AA67F2" w:rsidP="00AA67F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Perspectiva de Innovación y Aprendizaje</w:t>
      </w:r>
    </w:p>
    <w:p w:rsidR="00AA67F2" w:rsidRPr="009032D8" w:rsidRDefault="00AA67F2" w:rsidP="00AA67F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aps/>
        </w:rPr>
      </w:pPr>
      <w:r w:rsidRPr="009032D8">
        <w:rPr>
          <w:rFonts w:ascii="Arial" w:hAnsi="Arial" w:cs="Arial"/>
        </w:rPr>
        <w:t>Perspectiva Financiera</w:t>
      </w: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caps/>
          <w:color w:val="auto"/>
          <w:sz w:val="24"/>
          <w:szCs w:val="24"/>
        </w:rPr>
      </w:pPr>
      <w:bookmarkStart w:id="1" w:name="_Toc255555255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Figura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Figura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24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Las perspectivas del Balance Score Card (BSC) aplicadas a la </w:t>
      </w:r>
      <w:r>
        <w:rPr>
          <w:rFonts w:ascii="Arial" w:hAnsi="Arial" w:cs="Arial"/>
          <w:b w:val="0"/>
          <w:color w:val="auto"/>
          <w:sz w:val="24"/>
          <w:szCs w:val="24"/>
        </w:rPr>
        <w:t>Organización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 Mercapava S.A.</w:t>
      </w:r>
      <w:bookmarkEnd w:id="1"/>
    </w:p>
    <w:p w:rsidR="00AA67F2" w:rsidRPr="009032D8" w:rsidRDefault="00AA67F2" w:rsidP="00AA67F2">
      <w:pPr>
        <w:jc w:val="both"/>
        <w:rPr>
          <w:rFonts w:ascii="Arial" w:hAnsi="Arial" w:cs="Arial"/>
          <w:caps/>
        </w:rPr>
      </w:pPr>
    </w:p>
    <w:p w:rsidR="00AA67F2" w:rsidRPr="009032D8" w:rsidRDefault="00AA67F2" w:rsidP="00AA67F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  <w:lang w:eastAsia="es-CO"/>
        </w:rPr>
        <w:drawing>
          <wp:inline distT="0" distB="0" distL="0" distR="0">
            <wp:extent cx="5295900" cy="677227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F2" w:rsidRPr="009032D8" w:rsidRDefault="00AA67F2" w:rsidP="00AA67F2">
      <w:pPr>
        <w:jc w:val="both"/>
        <w:rPr>
          <w:rFonts w:ascii="Arial" w:hAnsi="Arial" w:cs="Arial"/>
          <w:caps/>
        </w:rPr>
      </w:pPr>
    </w:p>
    <w:p w:rsidR="00AA67F2" w:rsidRPr="00D95C0B" w:rsidRDefault="00AA67F2" w:rsidP="00AA67F2">
      <w:pPr>
        <w:jc w:val="both"/>
        <w:rPr>
          <w:rFonts w:ascii="Arial" w:hAnsi="Arial" w:cs="Arial"/>
        </w:rPr>
      </w:pPr>
      <w:r w:rsidRPr="00D95C0B">
        <w:rPr>
          <w:rFonts w:ascii="Arial" w:hAnsi="Arial" w:cs="Arial"/>
        </w:rPr>
        <w:t>Fuente: Los Autores</w:t>
      </w:r>
    </w:p>
    <w:p w:rsidR="00AA67F2" w:rsidRPr="0028315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bookmarkStart w:id="2" w:name="_Toc255486583"/>
      <w:bookmarkStart w:id="3" w:name="_Toc255486683"/>
      <w:bookmarkStart w:id="4" w:name="_Toc255487714"/>
      <w:bookmarkStart w:id="5" w:name="_Toc255555184"/>
      <w:r>
        <w:rPr>
          <w:rFonts w:ascii="Arial" w:hAnsi="Arial" w:cs="Arial"/>
          <w:b/>
          <w:caps/>
        </w:rPr>
        <w:t xml:space="preserve">8.1. </w:t>
      </w:r>
      <w:r w:rsidRPr="00283158">
        <w:rPr>
          <w:rFonts w:ascii="Arial" w:hAnsi="Arial" w:cs="Arial"/>
          <w:b/>
          <w:caps/>
        </w:rPr>
        <w:t>Áreas y Factores Claves a controlar y evaluar</w:t>
      </w:r>
      <w:bookmarkEnd w:id="2"/>
      <w:bookmarkEnd w:id="3"/>
      <w:bookmarkEnd w:id="4"/>
      <w:bookmarkEnd w:id="5"/>
    </w:p>
    <w:p w:rsidR="00AA67F2" w:rsidRDefault="00AA67F2" w:rsidP="00AA67F2">
      <w:pPr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Las declaraciones incluidas en la Misión, Visión y Principios Corporativos, definidos para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Mercapava, son los pilares definitivos para formular </w:t>
      </w:r>
      <w:r w:rsidRPr="009032D8">
        <w:rPr>
          <w:rFonts w:ascii="Arial" w:hAnsi="Arial" w:cs="Arial"/>
        </w:rPr>
        <w:lastRenderedPageBreak/>
        <w:t xml:space="preserve">un modelo de monitoreo y mejoramiento continuo, que incremente la garantía de implementación del Plan Estratégico.  Dichas declaraciones, están perfectamente alineadas, con las cuatro perspectivas del BSC (Financiera, Clientes, Procesos, Innovación y Aprendizaje), sumadas a una quinta perspectiva que se considera de vital importancia para la sostenibilidad de la estrategia y la contribución de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en el desarrollo social, ésta es, la perspectiva social, con la cual pretende encararse la responsabilidad social empresarial, que hoy por hoy deben asumir las organizaciones y particularmente las empresas.</w:t>
      </w: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Dichas perspectivas, consagran la necesidad de establecer estrategias que no descuiden ninguno de los polos de desarrollo importantes para el crecimiento y sostenibilidad de la empresa.  Entre ellos: mantener excelentes niveles de servicio y satisfacción al cliente, contar con personal altamente calificado y cualificado, optimizar la calidad de los productos y el tiempo de respuesta, entre otras ventajas competitivas que destaquen y diferencien a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Mercapava de sus competidores.</w:t>
      </w: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Es así como, desde cada una de estas perspectivas, se definen las distintas áreas y factores a controlar a partir del BSC:</w:t>
      </w: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Default="00AA67F2" w:rsidP="00AA67F2">
      <w:pPr>
        <w:pStyle w:val="Prrafodelista"/>
        <w:ind w:left="0"/>
        <w:jc w:val="both"/>
        <w:rPr>
          <w:rFonts w:ascii="Arial" w:hAnsi="Arial" w:cs="Arial"/>
          <w:b/>
        </w:rPr>
      </w:pPr>
    </w:p>
    <w:p w:rsidR="00AA67F2" w:rsidRPr="0028315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6" w:name="_Toc255555185"/>
      <w:r>
        <w:rPr>
          <w:rFonts w:ascii="Arial" w:hAnsi="Arial" w:cs="Arial"/>
          <w:b/>
        </w:rPr>
        <w:t xml:space="preserve">8.1.1. </w:t>
      </w:r>
      <w:r w:rsidRPr="00283158">
        <w:rPr>
          <w:rFonts w:ascii="Arial" w:hAnsi="Arial" w:cs="Arial"/>
          <w:b/>
        </w:rPr>
        <w:t>Desde la Perspectiva de Innovación y Aprendizaje</w:t>
      </w:r>
      <w:bookmarkEnd w:id="6"/>
    </w:p>
    <w:p w:rsidR="00AA67F2" w:rsidRPr="009032D8" w:rsidRDefault="00AA67F2" w:rsidP="00AA67F2">
      <w:pPr>
        <w:ind w:left="360"/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Con un alto desarrollo del talento humano.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En beneficio de empleados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032D8">
        <w:rPr>
          <w:rFonts w:ascii="Arial" w:hAnsi="Arial" w:cs="Arial"/>
          <w:bCs/>
        </w:rPr>
        <w:t>Búsqueda permanente de innovación y desarrollo tecnológico.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es-ES_tradnl"/>
        </w:rPr>
      </w:pPr>
      <w:r w:rsidRPr="009032D8">
        <w:rPr>
          <w:rFonts w:ascii="Arial" w:hAnsi="Arial" w:cs="Arial"/>
          <w:bCs/>
        </w:rPr>
        <w:t xml:space="preserve">Busca </w:t>
      </w:r>
      <w:r w:rsidRPr="009032D8">
        <w:rPr>
          <w:rFonts w:ascii="Arial" w:hAnsi="Arial" w:cs="Arial"/>
          <w:bCs/>
          <w:lang w:val="es-ES_tradnl"/>
        </w:rPr>
        <w:t>atraer y retener gente excelente proporcionándoles un ambiente abierto y participativo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  <w:lang w:val="es-ES_tradnl"/>
        </w:rPr>
      </w:pPr>
      <w:r w:rsidRPr="009032D8">
        <w:rPr>
          <w:rFonts w:ascii="Arial" w:hAnsi="Arial" w:cs="Arial"/>
          <w:bCs/>
          <w:lang w:val="es-ES_tradnl"/>
        </w:rPr>
        <w:t>La creatividad, la rapidez de acción y la apertura hacia el cambio serán reconocidas y recompensadas</w:t>
      </w:r>
    </w:p>
    <w:p w:rsidR="00AA67F2" w:rsidRDefault="00AA67F2" w:rsidP="00AA67F2">
      <w:pPr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7" w:name="_Toc255555186"/>
      <w:r>
        <w:rPr>
          <w:rFonts w:ascii="Arial" w:hAnsi="Arial" w:cs="Arial"/>
          <w:b/>
        </w:rPr>
        <w:t xml:space="preserve">8.1.2. </w:t>
      </w:r>
      <w:r w:rsidRPr="009032D8">
        <w:rPr>
          <w:rFonts w:ascii="Arial" w:hAnsi="Arial" w:cs="Arial"/>
          <w:b/>
        </w:rPr>
        <w:t>Desde la Perspectiva Interna</w:t>
      </w:r>
      <w:bookmarkEnd w:id="7"/>
    </w:p>
    <w:p w:rsidR="00AA67F2" w:rsidRPr="009032D8" w:rsidRDefault="00AA67F2" w:rsidP="00AA67F2">
      <w:pPr>
        <w:pStyle w:val="Prrafodelista"/>
        <w:ind w:left="360"/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Líder en la comercialización de bienes y servicios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032D8">
        <w:rPr>
          <w:rFonts w:ascii="Arial" w:hAnsi="Arial" w:cs="Arial"/>
          <w:bCs/>
        </w:rPr>
        <w:t>Con su tenacidad, vocación de servicio, creatividad y disciplina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9032D8">
        <w:rPr>
          <w:rFonts w:ascii="Arial" w:hAnsi="Arial" w:cs="Arial"/>
          <w:bCs/>
        </w:rPr>
        <w:t>Reconocida por eficiencia en todos sus procesos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  <w:lang w:val="es-ES_tradnl"/>
        </w:rPr>
        <w:t>Invirtiendo en el mejoramiento de los procesos que nos lleven a prestar un excelente servicio.</w:t>
      </w:r>
    </w:p>
    <w:p w:rsidR="00AA67F2" w:rsidRPr="009032D8" w:rsidRDefault="00AA67F2" w:rsidP="00AA67F2">
      <w:pPr>
        <w:pStyle w:val="Prrafodelista"/>
        <w:ind w:left="360"/>
        <w:jc w:val="both"/>
        <w:rPr>
          <w:rFonts w:ascii="Arial" w:hAnsi="Arial" w:cs="Arial"/>
        </w:rPr>
      </w:pPr>
    </w:p>
    <w:p w:rsidR="00AA67F2" w:rsidRDefault="00AA67F2" w:rsidP="00AA67F2">
      <w:pPr>
        <w:pStyle w:val="Prrafodelista"/>
        <w:ind w:left="0"/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8" w:name="_Toc255555187"/>
      <w:r>
        <w:rPr>
          <w:rFonts w:ascii="Arial" w:hAnsi="Arial" w:cs="Arial"/>
          <w:b/>
        </w:rPr>
        <w:t xml:space="preserve">8.1.3. </w:t>
      </w:r>
      <w:r w:rsidRPr="009032D8">
        <w:rPr>
          <w:rFonts w:ascii="Arial" w:hAnsi="Arial" w:cs="Arial"/>
          <w:b/>
        </w:rPr>
        <w:t>Desde la Perspectiva del Cliente o Consumidor</w:t>
      </w:r>
      <w:bookmarkEnd w:id="8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Generando </w:t>
      </w:r>
      <w:r w:rsidRPr="009032D8">
        <w:rPr>
          <w:rFonts w:ascii="Arial" w:hAnsi="Arial" w:cs="Arial"/>
          <w:bCs/>
        </w:rPr>
        <w:t>una agradable experiencia de compra</w:t>
      </w:r>
      <w:r w:rsidRPr="009032D8">
        <w:rPr>
          <w:rFonts w:ascii="Arial" w:hAnsi="Arial" w:cs="Arial"/>
        </w:rPr>
        <w:t xml:space="preserve"> a clientes, consumidores y comerciantes.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lastRenderedPageBreak/>
        <w:t>En beneficio de clientes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  <w:bCs/>
        </w:rPr>
        <w:t>Proyecta tener en el año 2015 negocios estratégicos para suplir necesidades de clientes y consumidores.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9032D8">
        <w:rPr>
          <w:rFonts w:ascii="Arial" w:hAnsi="Arial" w:cs="Arial"/>
          <w:lang w:val="es-ES_tradnl"/>
        </w:rPr>
        <w:t>Satisfacer las necesidades de nuestros clientes ofreciéndoles bienes y servicios</w:t>
      </w:r>
    </w:p>
    <w:p w:rsidR="00AA67F2" w:rsidRPr="009032D8" w:rsidRDefault="00AA67F2" w:rsidP="00AA67F2">
      <w:pPr>
        <w:jc w:val="both"/>
        <w:rPr>
          <w:rFonts w:ascii="Arial" w:hAnsi="Arial" w:cs="Arial"/>
          <w:b/>
        </w:rPr>
      </w:pPr>
    </w:p>
    <w:p w:rsidR="00AA67F2" w:rsidRDefault="00AA67F2" w:rsidP="00AA67F2">
      <w:pPr>
        <w:pStyle w:val="Prrafodelista"/>
        <w:ind w:left="0"/>
        <w:jc w:val="both"/>
        <w:rPr>
          <w:rFonts w:ascii="Arial" w:hAnsi="Arial" w:cs="Arial"/>
          <w:b/>
        </w:rPr>
      </w:pPr>
    </w:p>
    <w:p w:rsidR="00AA67F2" w:rsidRPr="0028315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9" w:name="_Toc255555188"/>
      <w:r>
        <w:rPr>
          <w:rFonts w:ascii="Arial" w:hAnsi="Arial" w:cs="Arial"/>
          <w:b/>
        </w:rPr>
        <w:t xml:space="preserve">8.1.4. </w:t>
      </w:r>
      <w:r w:rsidRPr="009032D8">
        <w:rPr>
          <w:rFonts w:ascii="Arial" w:hAnsi="Arial" w:cs="Arial"/>
          <w:b/>
        </w:rPr>
        <w:t>Desde la Perspectiva Financiera</w:t>
      </w:r>
      <w:bookmarkEnd w:id="9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283158">
        <w:rPr>
          <w:rFonts w:ascii="Arial" w:hAnsi="Arial" w:cs="Arial"/>
          <w:lang w:val="es-ES_tradnl"/>
        </w:rPr>
        <w:t xml:space="preserve">En beneficio de socios comerciales y accionistas 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283158">
        <w:rPr>
          <w:rFonts w:ascii="Arial" w:hAnsi="Arial" w:cs="Arial"/>
          <w:lang w:val="es-ES_tradnl"/>
        </w:rPr>
        <w:t>De manera rentable y sostenible.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283158">
        <w:rPr>
          <w:rFonts w:ascii="Arial" w:hAnsi="Arial" w:cs="Arial"/>
          <w:lang w:val="es-ES_tradnl"/>
        </w:rPr>
        <w:t xml:space="preserve">Generando rentabilidad y crecimiento sostenido. 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9032D8">
        <w:rPr>
          <w:rFonts w:ascii="Arial" w:hAnsi="Arial" w:cs="Arial"/>
          <w:lang w:val="es-ES_tradnl"/>
        </w:rPr>
        <w:t>Negociar con nuestros proveedores y otros aliados comerciales en forma justa y equitativa, reconociendo nuestros mutuos intereses y cumpliendo a cabalidad las obligaciones adquiridas.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9032D8">
        <w:rPr>
          <w:rFonts w:ascii="Arial" w:hAnsi="Arial" w:cs="Arial"/>
          <w:lang w:val="es-ES_tradnl"/>
        </w:rPr>
        <w:t>Proveer a nuestros accionistas dividendos atractivos y justos alcanzando niveles óptimos de productividad.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9032D8">
        <w:rPr>
          <w:rFonts w:ascii="Arial" w:hAnsi="Arial" w:cs="Arial"/>
          <w:lang w:val="es-ES_tradnl"/>
        </w:rPr>
        <w:t>Estamos preparados para tomar riesgos prudentes con el propósito de lograr un crecimiento corporativo sostenido y a largo plazo.</w:t>
      </w:r>
    </w:p>
    <w:p w:rsidR="00AA67F2" w:rsidRDefault="00AA67F2" w:rsidP="00AA67F2">
      <w:pPr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b/>
        </w:rPr>
      </w:pPr>
    </w:p>
    <w:p w:rsidR="00AA67F2" w:rsidRPr="0028315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10" w:name="_Toc255555189"/>
      <w:r>
        <w:rPr>
          <w:rFonts w:ascii="Arial" w:hAnsi="Arial" w:cs="Arial"/>
          <w:b/>
        </w:rPr>
        <w:t xml:space="preserve">8.1.5. </w:t>
      </w:r>
      <w:r w:rsidRPr="00283158">
        <w:rPr>
          <w:rFonts w:ascii="Arial" w:hAnsi="Arial" w:cs="Arial"/>
          <w:b/>
        </w:rPr>
        <w:t>Desde la Perspectiva Social</w:t>
      </w:r>
      <w:bookmarkEnd w:id="10"/>
    </w:p>
    <w:p w:rsidR="00AA67F2" w:rsidRPr="009032D8" w:rsidRDefault="00AA67F2" w:rsidP="00AA67F2">
      <w:pPr>
        <w:jc w:val="both"/>
        <w:rPr>
          <w:rFonts w:ascii="Arial" w:hAnsi="Arial" w:cs="Arial"/>
          <w:b/>
          <w:bCs/>
        </w:rPr>
      </w:pP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283158">
        <w:rPr>
          <w:rFonts w:ascii="Arial" w:hAnsi="Arial" w:cs="Arial"/>
          <w:lang w:val="es-ES_tradnl"/>
        </w:rPr>
        <w:t xml:space="preserve">Acogida con aprecio por la comunidad, por ser ejemplo de integridad, respeto, generosidad. 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283158">
        <w:rPr>
          <w:rFonts w:ascii="Arial" w:hAnsi="Arial" w:cs="Arial"/>
          <w:lang w:val="es-ES_tradnl"/>
        </w:rPr>
        <w:t>Contribuyendo a la región y al país en su desarrollo económico y en la construcción de una sociedad tolerante.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283158">
        <w:rPr>
          <w:rFonts w:ascii="Arial" w:hAnsi="Arial" w:cs="Arial"/>
          <w:lang w:val="es-ES_tradnl"/>
        </w:rPr>
        <w:t>En beneficio de la sociedad</w:t>
      </w:r>
    </w:p>
    <w:p w:rsidR="00AA67F2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_tradnl"/>
        </w:rPr>
      </w:pPr>
      <w:r w:rsidRPr="009032D8">
        <w:rPr>
          <w:rFonts w:ascii="Arial" w:hAnsi="Arial" w:cs="Arial"/>
          <w:lang w:val="es-ES_tradnl"/>
        </w:rPr>
        <w:t>Ser ciudadanos responsables, iniciando y respaldando esfuerzos relacionados con el bienestar de la Sociedad y con la conservación del medio ambiente.</w:t>
      </w:r>
    </w:p>
    <w:p w:rsidR="00AA67F2" w:rsidRPr="00BE0037" w:rsidRDefault="00AA67F2" w:rsidP="00AA67F2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AA67F2" w:rsidRPr="0028315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bookmarkStart w:id="11" w:name="_Toc255486584"/>
      <w:bookmarkStart w:id="12" w:name="_Toc255486684"/>
      <w:bookmarkStart w:id="13" w:name="_Toc255487715"/>
      <w:r>
        <w:rPr>
          <w:rFonts w:ascii="Arial" w:hAnsi="Arial" w:cs="Arial"/>
          <w:b/>
          <w:caps/>
        </w:rPr>
        <w:br w:type="page"/>
      </w:r>
      <w:bookmarkStart w:id="14" w:name="_Toc255555190"/>
      <w:r>
        <w:rPr>
          <w:rFonts w:ascii="Arial" w:hAnsi="Arial" w:cs="Arial"/>
          <w:b/>
          <w:caps/>
        </w:rPr>
        <w:lastRenderedPageBreak/>
        <w:t xml:space="preserve">8.2. </w:t>
      </w:r>
      <w:r w:rsidRPr="00283158">
        <w:rPr>
          <w:rFonts w:ascii="Arial" w:hAnsi="Arial" w:cs="Arial"/>
          <w:b/>
          <w:caps/>
        </w:rPr>
        <w:t>Definición de los Objetivos del Sistema de Control según las perspectivas del balance scorecard</w:t>
      </w:r>
      <w:bookmarkEnd w:id="11"/>
      <w:bookmarkEnd w:id="12"/>
      <w:bookmarkEnd w:id="13"/>
      <w:bookmarkEnd w:id="14"/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Fundamentado en la estrategia formulada para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Mercapava, en la cual se definen la Misión y Visión de la empresa y de manera coherente con las perspectivas anteriormente señaladas, se definen aquí los objetivos que han de orientar la construcción y posterior seguimiento del BSC:</w:t>
      </w: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28315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15" w:name="_Toc255555191"/>
      <w:r>
        <w:rPr>
          <w:rFonts w:ascii="Arial" w:hAnsi="Arial" w:cs="Arial"/>
          <w:b/>
        </w:rPr>
        <w:t xml:space="preserve">8.2.1. </w:t>
      </w:r>
      <w:r w:rsidRPr="00283158">
        <w:rPr>
          <w:rFonts w:ascii="Arial" w:hAnsi="Arial" w:cs="Arial"/>
          <w:b/>
        </w:rPr>
        <w:t>Perspectiva de Innovación y Aprendizaje</w:t>
      </w:r>
      <w:bookmarkEnd w:id="15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Mejorar los resultados producto de la evaluación del desempeño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Optimizar las competencias laborales y profesionales de los empleados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Mantener en un nivel mínimo los índices de ausentismo y rotación del personal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Elevar los niveles de Motivación Compromiso del personal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Intensificar el uso de la tecnología</w:t>
      </w: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16" w:name="_Toc255555192"/>
      <w:r>
        <w:rPr>
          <w:rFonts w:ascii="Arial" w:hAnsi="Arial" w:cs="Arial"/>
          <w:b/>
        </w:rPr>
        <w:t xml:space="preserve">8.2.2. </w:t>
      </w:r>
      <w:r w:rsidRPr="009032D8">
        <w:rPr>
          <w:rFonts w:ascii="Arial" w:hAnsi="Arial" w:cs="Arial"/>
          <w:b/>
        </w:rPr>
        <w:t>Perspectiva de los Procesos Internos</w:t>
      </w:r>
      <w:bookmarkEnd w:id="16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Optimizar el tiempo de respuesta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Fortalecer la gestión operativa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Reducir el nivel de devoluciones</w:t>
      </w: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17" w:name="_Toc255555193"/>
      <w:r>
        <w:rPr>
          <w:rFonts w:ascii="Arial" w:hAnsi="Arial" w:cs="Arial"/>
          <w:b/>
        </w:rPr>
        <w:t xml:space="preserve">8.2.3. </w:t>
      </w:r>
      <w:r w:rsidRPr="009032D8">
        <w:rPr>
          <w:rFonts w:ascii="Arial" w:hAnsi="Arial" w:cs="Arial"/>
          <w:b/>
        </w:rPr>
        <w:t>Perspectiva de los Clientes</w:t>
      </w:r>
      <w:bookmarkEnd w:id="17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Medir y elevar los niveles de fidelización de los clientes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Incrementar el cubrimiento de la población atendida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Elevar los niveles de venta</w:t>
      </w:r>
    </w:p>
    <w:p w:rsidR="00AA67F2" w:rsidRPr="009032D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Elevar los estándares de satisfacción del cliente</w:t>
      </w:r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18" w:name="_Toc255555194"/>
      <w:r>
        <w:rPr>
          <w:rFonts w:ascii="Arial" w:hAnsi="Arial" w:cs="Arial"/>
          <w:b/>
        </w:rPr>
        <w:t xml:space="preserve">8.2.4. </w:t>
      </w:r>
      <w:r w:rsidRPr="009032D8">
        <w:rPr>
          <w:rFonts w:ascii="Arial" w:hAnsi="Arial" w:cs="Arial"/>
          <w:b/>
        </w:rPr>
        <w:t>Perspectiva Financiera</w:t>
      </w:r>
      <w:bookmarkEnd w:id="18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Registrar crecimientos en los ingresos operacionales y no operacionales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Reducir costos y gastos de manera sostenible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Incrementar los niveles de rentabilidad por UEN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Llevar los indicadores de liquidez, capital de trabajo, rotación de cartera e inventarios, endeudamiento, entre otros indicadores financieros, a un nivel óptimo</w:t>
      </w:r>
    </w:p>
    <w:p w:rsidR="00AA67F2" w:rsidRDefault="00AA67F2" w:rsidP="00AA67F2">
      <w:pPr>
        <w:pStyle w:val="Prrafodelista"/>
        <w:ind w:left="0"/>
        <w:jc w:val="both"/>
        <w:rPr>
          <w:rFonts w:ascii="Arial" w:hAnsi="Arial" w:cs="Arial"/>
          <w:b/>
        </w:rPr>
      </w:pPr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</w:rPr>
      </w:pPr>
      <w:bookmarkStart w:id="19" w:name="_Toc255555195"/>
      <w:r>
        <w:rPr>
          <w:rFonts w:ascii="Arial" w:hAnsi="Arial" w:cs="Arial"/>
          <w:b/>
        </w:rPr>
        <w:t xml:space="preserve">8.2.5. </w:t>
      </w:r>
      <w:r w:rsidRPr="009032D8">
        <w:rPr>
          <w:rFonts w:ascii="Arial" w:hAnsi="Arial" w:cs="Arial"/>
          <w:b/>
        </w:rPr>
        <w:t>Perspectiva Social</w:t>
      </w:r>
      <w:bookmarkEnd w:id="19"/>
    </w:p>
    <w:p w:rsidR="00AA67F2" w:rsidRPr="009032D8" w:rsidRDefault="00AA67F2" w:rsidP="00AA67F2">
      <w:pPr>
        <w:rPr>
          <w:rFonts w:ascii="Arial" w:hAnsi="Arial" w:cs="Arial"/>
          <w:b/>
        </w:rPr>
      </w:pP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lastRenderedPageBreak/>
        <w:t>Impactar positivamente a la comunidad</w:t>
      </w:r>
    </w:p>
    <w:p w:rsidR="00AA67F2" w:rsidRPr="00283158" w:rsidRDefault="00AA67F2" w:rsidP="00AA67F2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Mejorar y mantener una excelente imagen corporativa</w:t>
      </w:r>
    </w:p>
    <w:p w:rsidR="00AA67F2" w:rsidRDefault="00AA67F2" w:rsidP="00AA67F2">
      <w:pPr>
        <w:tabs>
          <w:tab w:val="left" w:pos="2480"/>
        </w:tabs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</w:pPr>
      <w:bookmarkStart w:id="20" w:name="_Toc255555274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Cuadro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Cuadro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18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603315"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>Objetivos Estratégicos por Perspectiva</w:t>
      </w:r>
      <w:r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>.</w:t>
      </w:r>
      <w:bookmarkEnd w:id="20"/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tbl>
      <w:tblPr>
        <w:tblW w:w="8533" w:type="dxa"/>
        <w:jc w:val="center"/>
        <w:tblInd w:w="-639" w:type="dxa"/>
        <w:tblCellMar>
          <w:left w:w="70" w:type="dxa"/>
          <w:right w:w="70" w:type="dxa"/>
        </w:tblCellMar>
        <w:tblLook w:val="04A0"/>
      </w:tblPr>
      <w:tblGrid>
        <w:gridCol w:w="2127"/>
        <w:gridCol w:w="992"/>
        <w:gridCol w:w="5414"/>
      </w:tblGrid>
      <w:tr w:rsidR="00AA67F2" w:rsidRPr="00283158" w:rsidTr="00122918">
        <w:trPr>
          <w:trHeight w:val="45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8315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Perspectiva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8315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Objetivos Estratégicos Generales</w:t>
            </w:r>
          </w:p>
        </w:tc>
      </w:tr>
      <w:tr w:rsidR="00AA67F2" w:rsidRPr="00283158" w:rsidTr="00122918">
        <w:trPr>
          <w:trHeight w:val="562"/>
          <w:jc w:val="center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de Innovación y Aprendizaje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los resultados producto de la evaluación del desempeño</w:t>
            </w:r>
          </w:p>
        </w:tc>
      </w:tr>
      <w:tr w:rsidR="00AA67F2" w:rsidRPr="00283158" w:rsidTr="00122918">
        <w:trPr>
          <w:trHeight w:val="528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I2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Optimizar las competencias laborales y profesionales de los empleados</w:t>
            </w:r>
          </w:p>
        </w:tc>
      </w:tr>
      <w:tr w:rsidR="00AA67F2" w:rsidRPr="00283158" w:rsidTr="00122918">
        <w:trPr>
          <w:trHeight w:val="636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Mantener en un nivel mínimo los índices de ausentismo y rotación del personal</w:t>
            </w:r>
          </w:p>
        </w:tc>
      </w:tr>
      <w:tr w:rsidR="00AA67F2" w:rsidRPr="00283158" w:rsidTr="00122918">
        <w:trPr>
          <w:trHeight w:val="559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I4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Motivación Compromiso del personal</w:t>
            </w:r>
          </w:p>
        </w:tc>
      </w:tr>
      <w:tr w:rsidR="00AA67F2" w:rsidRPr="00283158" w:rsidTr="00122918">
        <w:trPr>
          <w:trHeight w:val="553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I5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Intensificar el uso de la tecnología</w:t>
            </w:r>
          </w:p>
        </w:tc>
      </w:tr>
      <w:tr w:rsidR="00AA67F2" w:rsidRPr="00283158" w:rsidTr="00122918">
        <w:trPr>
          <w:trHeight w:val="575"/>
          <w:jc w:val="center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de los Procesos Internos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Optimizar el tiempo de respuesta</w:t>
            </w:r>
          </w:p>
        </w:tc>
      </w:tr>
      <w:tr w:rsidR="00AA67F2" w:rsidRPr="00283158" w:rsidTr="00122918">
        <w:trPr>
          <w:trHeight w:val="555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Fortalecer la gestión operativa</w:t>
            </w:r>
          </w:p>
        </w:tc>
      </w:tr>
      <w:tr w:rsidR="00AA67F2" w:rsidRPr="00283158" w:rsidTr="00122918">
        <w:trPr>
          <w:trHeight w:val="549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Reducir el nivel de devoluciones</w:t>
            </w:r>
          </w:p>
        </w:tc>
      </w:tr>
      <w:tr w:rsidR="00AA67F2" w:rsidRPr="00283158" w:rsidTr="00122918">
        <w:trPr>
          <w:trHeight w:val="557"/>
          <w:jc w:val="center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de los Clientes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Medir y elevar los niveles de fidelización de los clientes</w:t>
            </w:r>
          </w:p>
        </w:tc>
      </w:tr>
      <w:tr w:rsidR="00AA67F2" w:rsidRPr="00283158" w:rsidTr="00122918">
        <w:trPr>
          <w:trHeight w:val="551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C2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el cubrimiento de la población atendida</w:t>
            </w:r>
          </w:p>
        </w:tc>
      </w:tr>
      <w:tr w:rsidR="00AA67F2" w:rsidRPr="00283158" w:rsidTr="00122918">
        <w:trPr>
          <w:trHeight w:val="559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C3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venta</w:t>
            </w:r>
          </w:p>
        </w:tc>
      </w:tr>
      <w:tr w:rsidR="00AA67F2" w:rsidRPr="00283158" w:rsidTr="00122918">
        <w:trPr>
          <w:trHeight w:val="567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C4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estándares de satisfacción del cliente</w:t>
            </w:r>
          </w:p>
        </w:tc>
      </w:tr>
      <w:tr w:rsidR="00AA67F2" w:rsidRPr="00283158" w:rsidTr="00122918">
        <w:trPr>
          <w:trHeight w:val="63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Financiera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Registrar crecimientos en los ingresos operacionales y no operacionales</w:t>
            </w:r>
          </w:p>
        </w:tc>
      </w:tr>
      <w:tr w:rsidR="00AA67F2" w:rsidRPr="00283158" w:rsidTr="00122918">
        <w:trPr>
          <w:trHeight w:val="6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F2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Reducir costos y gastos de manera sostenible</w:t>
            </w:r>
          </w:p>
        </w:tc>
      </w:tr>
      <w:tr w:rsidR="00AA67F2" w:rsidRPr="00283158" w:rsidTr="00122918">
        <w:trPr>
          <w:trHeight w:val="56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F3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los niveles de rentabilidad por UEN</w:t>
            </w:r>
          </w:p>
        </w:tc>
      </w:tr>
      <w:tr w:rsidR="00AA67F2" w:rsidRPr="00283158" w:rsidTr="00122918">
        <w:trPr>
          <w:trHeight w:val="102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F4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Llevar los indicadores de liquidez, capital de trabajo, rotación de cartera e inventarios, endeudamiento, entre otros indicadores financieros, a un nivel óptimo</w:t>
            </w:r>
          </w:p>
        </w:tc>
      </w:tr>
      <w:tr w:rsidR="00AA67F2" w:rsidRPr="00283158" w:rsidTr="00122918">
        <w:trPr>
          <w:trHeight w:val="51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Social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S1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Impactar positivamente a la comunidad</w:t>
            </w:r>
          </w:p>
        </w:tc>
      </w:tr>
      <w:tr w:rsidR="00AA67F2" w:rsidRPr="00283158" w:rsidTr="00122918">
        <w:trPr>
          <w:trHeight w:val="48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S2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y mantener una excelente imagen corporativa</w:t>
            </w:r>
          </w:p>
        </w:tc>
      </w:tr>
    </w:tbl>
    <w:p w:rsidR="00AA67F2" w:rsidRPr="00D95C0B" w:rsidRDefault="00AA67F2" w:rsidP="00AA67F2">
      <w:pPr>
        <w:jc w:val="both"/>
        <w:rPr>
          <w:rFonts w:ascii="Arial" w:hAnsi="Arial" w:cs="Arial"/>
        </w:rPr>
      </w:pPr>
      <w:r w:rsidRPr="00D95C0B">
        <w:rPr>
          <w:rFonts w:ascii="Arial" w:hAnsi="Arial" w:cs="Arial"/>
        </w:rPr>
        <w:lastRenderedPageBreak/>
        <w:t>Fuente: Los Autores</w:t>
      </w:r>
    </w:p>
    <w:p w:rsidR="00AA67F2" w:rsidRDefault="00AA67F2" w:rsidP="00AA67F2"/>
    <w:p w:rsidR="00AA67F2" w:rsidRPr="00283158" w:rsidRDefault="00AA67F2" w:rsidP="00AA67F2">
      <w:pPr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Default="00AA67F2" w:rsidP="00AA67F2">
      <w:pPr>
        <w:tabs>
          <w:tab w:val="left" w:pos="2480"/>
        </w:tabs>
        <w:ind w:left="-639"/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bookmarkStart w:id="21" w:name="_Toc255486585"/>
      <w:bookmarkStart w:id="22" w:name="_Toc255486685"/>
      <w:bookmarkStart w:id="23" w:name="_Toc255487716"/>
      <w:bookmarkStart w:id="24" w:name="_Toc255555196"/>
      <w:r>
        <w:rPr>
          <w:rFonts w:ascii="Arial" w:hAnsi="Arial" w:cs="Arial"/>
          <w:b/>
          <w:caps/>
        </w:rPr>
        <w:t xml:space="preserve">8.3. </w:t>
      </w:r>
      <w:r w:rsidRPr="009032D8">
        <w:rPr>
          <w:rFonts w:ascii="Arial" w:hAnsi="Arial" w:cs="Arial"/>
          <w:b/>
          <w:caps/>
        </w:rPr>
        <w:t xml:space="preserve">MAPA ESTRATÉGICO DE LA </w:t>
      </w:r>
      <w:r>
        <w:rPr>
          <w:rFonts w:ascii="Arial" w:hAnsi="Arial" w:cs="Arial"/>
          <w:b/>
          <w:caps/>
        </w:rPr>
        <w:t>ORGANIZACIÓN</w:t>
      </w:r>
      <w:r w:rsidRPr="009032D8">
        <w:rPr>
          <w:rFonts w:ascii="Arial" w:hAnsi="Arial" w:cs="Arial"/>
          <w:b/>
          <w:caps/>
        </w:rPr>
        <w:t xml:space="preserve"> MERCAPAVA S.A</w:t>
      </w:r>
      <w:bookmarkEnd w:id="21"/>
      <w:bookmarkEnd w:id="22"/>
      <w:bookmarkEnd w:id="23"/>
      <w:bookmarkEnd w:id="24"/>
    </w:p>
    <w:p w:rsidR="00AA67F2" w:rsidRDefault="00AA67F2" w:rsidP="00AA67F2">
      <w:pPr>
        <w:jc w:val="both"/>
        <w:rPr>
          <w:rFonts w:ascii="Arial" w:hAnsi="Arial" w:cs="Arial"/>
          <w:b/>
          <w:caps/>
          <w:lang w:val="es-ES"/>
        </w:rPr>
      </w:pPr>
    </w:p>
    <w:p w:rsidR="00AA67F2" w:rsidRPr="00A14280" w:rsidRDefault="00AA67F2" w:rsidP="00AA67F2">
      <w:pPr>
        <w:jc w:val="both"/>
        <w:rPr>
          <w:rFonts w:ascii="Arial" w:hAnsi="Arial" w:cs="Arial"/>
          <w:b/>
          <w:caps/>
          <w:lang w:val="es-ES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En el Mapa Estratégico definido para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Mercapava S.A., en la siguiente figura, se señalan las relaciones de causalidad (causa-efecto), entre los distinos objetivos estratégicos que orientan el Plan Estratégico, esto, siguiendo las cinco Perspectivas del modelo.</w:t>
      </w:r>
    </w:p>
    <w:p w:rsidR="00AA67F2" w:rsidRDefault="00AA67F2" w:rsidP="00AA67F2">
      <w:pPr>
        <w:jc w:val="both"/>
        <w:rPr>
          <w:rFonts w:ascii="Arial" w:hAnsi="Arial" w:cs="Arial"/>
          <w:sz w:val="20"/>
          <w:szCs w:val="20"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255555256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Figura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Figura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25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Mapa Estratégico propuesto para la </w:t>
      </w:r>
      <w:r>
        <w:rPr>
          <w:rFonts w:ascii="Arial" w:hAnsi="Arial" w:cs="Arial"/>
          <w:b w:val="0"/>
          <w:color w:val="auto"/>
          <w:sz w:val="24"/>
          <w:szCs w:val="24"/>
        </w:rPr>
        <w:t>Organización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 Mercapava S.A.</w:t>
      </w:r>
      <w:bookmarkEnd w:id="25"/>
    </w:p>
    <w:p w:rsidR="00AA67F2" w:rsidRPr="009032D8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Pr="00D95C0B" w:rsidRDefault="00AA67F2" w:rsidP="00AA67F2">
      <w:pPr>
        <w:jc w:val="center"/>
        <w:rPr>
          <w:rFonts w:ascii="Arial" w:hAnsi="Arial" w:cs="Arial"/>
          <w:b/>
          <w:caps/>
          <w:lang w:val="es-ES" w:eastAsia="es-ES"/>
        </w:rPr>
      </w:pPr>
      <w:r>
        <w:rPr>
          <w:rFonts w:ascii="Arial" w:hAnsi="Arial" w:cs="Arial"/>
          <w:b/>
          <w:caps/>
          <w:lang w:eastAsia="es-CO"/>
        </w:rPr>
        <w:drawing>
          <wp:inline distT="0" distB="0" distL="0" distR="0">
            <wp:extent cx="5162550" cy="44100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bookmarkStart w:id="26" w:name="_Toc255486586"/>
      <w:bookmarkStart w:id="27" w:name="_Toc255486686"/>
      <w:bookmarkStart w:id="28" w:name="_Toc255487717"/>
      <w:r>
        <w:rPr>
          <w:rFonts w:ascii="Arial" w:hAnsi="Arial" w:cs="Arial"/>
          <w:b/>
          <w:caps/>
        </w:rPr>
        <w:br w:type="page"/>
      </w:r>
      <w:bookmarkStart w:id="29" w:name="_Toc255555197"/>
      <w:r>
        <w:rPr>
          <w:rFonts w:ascii="Arial" w:hAnsi="Arial" w:cs="Arial"/>
          <w:b/>
          <w:caps/>
        </w:rPr>
        <w:lastRenderedPageBreak/>
        <w:t xml:space="preserve">8.4. </w:t>
      </w:r>
      <w:r w:rsidRPr="009032D8">
        <w:rPr>
          <w:rFonts w:ascii="Arial" w:hAnsi="Arial" w:cs="Arial"/>
          <w:b/>
          <w:caps/>
        </w:rPr>
        <w:t>Indicadores de Gestión</w:t>
      </w:r>
      <w:bookmarkEnd w:id="26"/>
      <w:bookmarkEnd w:id="27"/>
      <w:bookmarkEnd w:id="28"/>
      <w:bookmarkEnd w:id="29"/>
    </w:p>
    <w:p w:rsidR="00AA67F2" w:rsidRPr="009032D8" w:rsidRDefault="00AA67F2" w:rsidP="00AA67F2">
      <w:pPr>
        <w:jc w:val="both"/>
        <w:rPr>
          <w:rFonts w:ascii="Arial" w:hAnsi="Arial" w:cs="Arial"/>
        </w:rPr>
      </w:pP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caps/>
        </w:rPr>
      </w:pPr>
      <w:r w:rsidRPr="009032D8">
        <w:rPr>
          <w:rFonts w:ascii="Arial" w:hAnsi="Arial" w:cs="Arial"/>
        </w:rPr>
        <w:t xml:space="preserve">Establecidos los objetivos generales que han de orientar la estrategia desde cada perspectiva, se definen a continuación los indicadores de gestión a partir de los cuales se guiará y controlará de manera integral y proactiva, la marcha del Plan Estratégico. </w:t>
      </w:r>
    </w:p>
    <w:p w:rsidR="00AA67F2" w:rsidRDefault="00AA67F2" w:rsidP="00AA67F2">
      <w:pPr>
        <w:jc w:val="both"/>
        <w:rPr>
          <w:rFonts w:ascii="Arial" w:hAnsi="Arial" w:cs="Arial"/>
          <w:caps/>
        </w:rPr>
      </w:pPr>
    </w:p>
    <w:p w:rsidR="00AA67F2" w:rsidRPr="00603315" w:rsidRDefault="00AA67F2" w:rsidP="00AA67F2">
      <w:pPr>
        <w:pStyle w:val="Epgrafe"/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</w:pPr>
      <w:bookmarkStart w:id="30" w:name="_Toc255555275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Cuadro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Cuadro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19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603315"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>Indicadores de Gestión asociados a cada Perspectiva y Objetivo Estratégico</w:t>
      </w:r>
      <w:r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>.</w:t>
      </w:r>
      <w:bookmarkEnd w:id="30"/>
    </w:p>
    <w:tbl>
      <w:tblPr>
        <w:tblW w:w="8763" w:type="dxa"/>
        <w:jc w:val="center"/>
        <w:tblInd w:w="-497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3544"/>
        <w:gridCol w:w="3234"/>
      </w:tblGrid>
      <w:tr w:rsidR="00AA67F2" w:rsidRPr="00283158" w:rsidTr="00122918">
        <w:trPr>
          <w:trHeight w:val="450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FFFFFF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FFFFFF"/>
                <w:sz w:val="20"/>
                <w:szCs w:val="20"/>
                <w:lang w:eastAsia="es-CO"/>
              </w:rPr>
              <w:t>Perspectiva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FFFFFF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FFFFFF"/>
                <w:sz w:val="20"/>
                <w:szCs w:val="20"/>
                <w:lang w:eastAsia="es-CO"/>
              </w:rPr>
              <w:t>Objetivos Estratégicos Generales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FFFFFF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FFFFFF"/>
                <w:sz w:val="20"/>
                <w:szCs w:val="20"/>
                <w:lang w:eastAsia="es-CO"/>
              </w:rPr>
              <w:t>Indicadores de Gestión</w:t>
            </w:r>
          </w:p>
        </w:tc>
      </w:tr>
      <w:tr w:rsidR="00AA67F2" w:rsidRPr="00283158" w:rsidTr="00122918">
        <w:trPr>
          <w:trHeight w:val="52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de Innovación y Aprendizaje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los resultados producto de la evaluación del desempeño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Desempeño del personal</w:t>
            </w:r>
          </w:p>
        </w:tc>
      </w:tr>
      <w:tr w:rsidR="00AA67F2" w:rsidRPr="00283158" w:rsidTr="00122918">
        <w:trPr>
          <w:trHeight w:val="40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Tasa de productividad</w:t>
            </w:r>
          </w:p>
        </w:tc>
      </w:tr>
      <w:tr w:rsidR="00AA67F2" w:rsidRPr="00283158" w:rsidTr="00122918">
        <w:trPr>
          <w:trHeight w:val="4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Optimizar las competencias laborales y profesionales de los empleados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Tasa de capacitación del personal</w:t>
            </w:r>
          </w:p>
        </w:tc>
      </w:tr>
      <w:tr w:rsidR="00AA67F2" w:rsidRPr="00283158" w:rsidTr="00122918">
        <w:trPr>
          <w:trHeight w:val="45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Mantener en un nivel mínimo los índices de ausentismo y rotación del personal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Ausentismo</w:t>
            </w:r>
          </w:p>
        </w:tc>
      </w:tr>
      <w:tr w:rsidR="00AA67F2" w:rsidRPr="00283158" w:rsidTr="00122918">
        <w:trPr>
          <w:trHeight w:val="4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Rotación del personal</w:t>
            </w:r>
          </w:p>
        </w:tc>
      </w:tr>
      <w:tr w:rsidR="00AA67F2" w:rsidRPr="00283158" w:rsidTr="00122918">
        <w:trPr>
          <w:trHeight w:val="55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Motivación Compromiso del personal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satisfacción y compromiso del empleado</w:t>
            </w:r>
          </w:p>
        </w:tc>
      </w:tr>
      <w:tr w:rsidR="00AA67F2" w:rsidRPr="00283158" w:rsidTr="00122918">
        <w:trPr>
          <w:trHeight w:val="4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Salario promedio por empleado</w:t>
            </w:r>
          </w:p>
        </w:tc>
      </w:tr>
      <w:tr w:rsidR="00AA67F2" w:rsidRPr="00283158" w:rsidTr="00122918">
        <w:trPr>
          <w:trHeight w:val="54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I5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Intensificar el uso de la tecnología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usuarios de equipos tecnológicos</w:t>
            </w:r>
          </w:p>
        </w:tc>
      </w:tr>
      <w:tr w:rsidR="00AA67F2" w:rsidRPr="00283158" w:rsidTr="00122918">
        <w:trPr>
          <w:trHeight w:val="52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de los Procesos Internos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Optimizar el tiempo de respuesta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No. de horas de entrega por pedido</w:t>
            </w:r>
          </w:p>
        </w:tc>
      </w:tr>
      <w:tr w:rsidR="00AA67F2" w:rsidRPr="00283158" w:rsidTr="00122918">
        <w:trPr>
          <w:trHeight w:val="54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Fortalecer la gestión operativa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estandarización de procesos</w:t>
            </w:r>
          </w:p>
        </w:tc>
      </w:tr>
      <w:tr w:rsidR="00AA67F2" w:rsidRPr="00283158" w:rsidTr="00122918">
        <w:trPr>
          <w:trHeight w:val="52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Reducir el nivel de devoluciones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Tasa de devoluciones</w:t>
            </w:r>
          </w:p>
        </w:tc>
      </w:tr>
      <w:tr w:rsidR="00AA67F2" w:rsidRPr="00283158" w:rsidTr="00122918">
        <w:trPr>
          <w:trHeight w:val="54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de los Clientes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Medir y elevar los niveles de fidelización de los clientes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Fidelidad de los clientes</w:t>
            </w:r>
          </w:p>
        </w:tc>
      </w:tr>
      <w:tr w:rsidR="00AA67F2" w:rsidRPr="00283158" w:rsidTr="00122918">
        <w:trPr>
          <w:trHeight w:val="55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el cubrimiento de la población atendida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Crecimiento en el número de clientes</w:t>
            </w:r>
          </w:p>
        </w:tc>
      </w:tr>
      <w:tr w:rsidR="00AA67F2" w:rsidRPr="00283158" w:rsidTr="00122918">
        <w:trPr>
          <w:trHeight w:val="52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Cobertura en el número de hogares atendidos</w:t>
            </w:r>
          </w:p>
        </w:tc>
      </w:tr>
      <w:tr w:rsidR="00AA67F2" w:rsidRPr="00283158" w:rsidTr="00122918">
        <w:trPr>
          <w:trHeight w:val="51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Participación en el mercado</w:t>
            </w:r>
          </w:p>
        </w:tc>
      </w:tr>
      <w:tr w:rsidR="00AA67F2" w:rsidRPr="00283158" w:rsidTr="00122918">
        <w:trPr>
          <w:trHeight w:val="63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venta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Incremento sobre las ventas del período anterior</w:t>
            </w:r>
          </w:p>
        </w:tc>
      </w:tr>
      <w:tr w:rsidR="00AA67F2" w:rsidRPr="00283158" w:rsidTr="00122918">
        <w:trPr>
          <w:trHeight w:val="54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Aumento en el número de clientes nuevos</w:t>
            </w:r>
          </w:p>
        </w:tc>
      </w:tr>
      <w:tr w:rsidR="00AA67F2" w:rsidRPr="00283158" w:rsidTr="00122918">
        <w:trPr>
          <w:trHeight w:val="55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estándares de satisfacción del cliente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Nivel de quejas y reclamos </w:t>
            </w:r>
          </w:p>
        </w:tc>
      </w:tr>
      <w:tr w:rsidR="00AA67F2" w:rsidRPr="00283158" w:rsidTr="00122918">
        <w:trPr>
          <w:trHeight w:val="61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Niveles de Satisfacción del cliente</w:t>
            </w:r>
          </w:p>
        </w:tc>
      </w:tr>
      <w:tr w:rsidR="00AA67F2" w:rsidRPr="00283158" w:rsidTr="00122918">
        <w:trPr>
          <w:trHeight w:val="66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Financiera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Registrar crecimientos en los ingresos operacionales y no operacionales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Crecimiento de los niveles de ingresos operacionales y no operacionales</w:t>
            </w:r>
          </w:p>
        </w:tc>
      </w:tr>
      <w:tr w:rsidR="00AA67F2" w:rsidRPr="00283158" w:rsidTr="00122918">
        <w:trPr>
          <w:trHeight w:val="58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Reducir costos y gastos de manera sostenible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Margen de contribución</w:t>
            </w:r>
          </w:p>
        </w:tc>
      </w:tr>
      <w:tr w:rsidR="00AA67F2" w:rsidRPr="00283158" w:rsidTr="00122918">
        <w:trPr>
          <w:trHeight w:val="57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Utilidad antes de impuestos</w:t>
            </w:r>
          </w:p>
        </w:tc>
      </w:tr>
      <w:tr w:rsidR="00AA67F2" w:rsidRPr="00283158" w:rsidTr="00122918">
        <w:trPr>
          <w:trHeight w:val="63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los niveles de rentabilidad por UEN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 Rentabilidad por UEN</w:t>
            </w:r>
          </w:p>
        </w:tc>
      </w:tr>
      <w:tr w:rsidR="00AA67F2" w:rsidRPr="00283158" w:rsidTr="00122918">
        <w:trPr>
          <w:trHeight w:val="3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F4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Llevar los indicadores de liquidez, capital de trabajo, rotación de cartera e inventarios, endeudamiento, entre otros indicadores financieros, a un nivel óptimo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Liquidez</w:t>
            </w:r>
          </w:p>
        </w:tc>
      </w:tr>
      <w:tr w:rsidR="00AA67F2" w:rsidRPr="00283158" w:rsidTr="00122918">
        <w:trPr>
          <w:trHeight w:val="3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Endeudamiento</w:t>
            </w:r>
          </w:p>
        </w:tc>
      </w:tr>
      <w:tr w:rsidR="00AA67F2" w:rsidRPr="00283158" w:rsidTr="00122918">
        <w:trPr>
          <w:trHeight w:val="3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No. de días de Proveedores</w:t>
            </w:r>
          </w:p>
        </w:tc>
      </w:tr>
      <w:tr w:rsidR="00AA67F2" w:rsidRPr="00283158" w:rsidTr="00122918">
        <w:trPr>
          <w:trHeight w:val="3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No. de días de Cartera</w:t>
            </w:r>
          </w:p>
        </w:tc>
      </w:tr>
      <w:tr w:rsidR="00AA67F2" w:rsidRPr="00283158" w:rsidTr="00122918">
        <w:trPr>
          <w:trHeight w:val="3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Retorno sobre la inversión</w:t>
            </w:r>
          </w:p>
        </w:tc>
      </w:tr>
      <w:tr w:rsidR="00AA67F2" w:rsidRPr="00283158" w:rsidTr="00122918">
        <w:trPr>
          <w:trHeight w:val="69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Perspectiva Social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S1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Impactar positivamente a la comunidad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Población directamente beneficiada por programas con la comunidad</w:t>
            </w:r>
          </w:p>
        </w:tc>
      </w:tr>
      <w:tr w:rsidR="00AA67F2" w:rsidRPr="00283158" w:rsidTr="00122918">
        <w:trPr>
          <w:trHeight w:val="6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67F2" w:rsidRPr="00283158" w:rsidRDefault="00AA67F2" w:rsidP="00122918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S2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y mantener una excelente imagen corporativa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Posicionamiento en el mercado</w:t>
            </w:r>
          </w:p>
        </w:tc>
      </w:tr>
      <w:tr w:rsidR="00AA67F2" w:rsidRPr="00283158" w:rsidTr="00122918">
        <w:trPr>
          <w:trHeight w:val="21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AA67F2" w:rsidRPr="00D95C0B" w:rsidRDefault="00AA67F2" w:rsidP="00AA67F2">
      <w:pPr>
        <w:jc w:val="both"/>
        <w:rPr>
          <w:rFonts w:ascii="Arial" w:hAnsi="Arial" w:cs="Arial"/>
        </w:rPr>
      </w:pPr>
      <w:r w:rsidRPr="00D95C0B">
        <w:rPr>
          <w:rFonts w:ascii="Arial" w:hAnsi="Arial" w:cs="Arial"/>
        </w:rPr>
        <w:t>Fuente: Los Autores</w:t>
      </w:r>
    </w:p>
    <w:p w:rsidR="00AA67F2" w:rsidRDefault="00AA67F2" w:rsidP="00AA67F2">
      <w:pPr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bookmarkStart w:id="31" w:name="_Toc255486587"/>
      <w:bookmarkStart w:id="32" w:name="_Toc255486687"/>
      <w:bookmarkStart w:id="33" w:name="_Toc255487718"/>
    </w:p>
    <w:p w:rsidR="00AA67F2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  <w:bookmarkStart w:id="34" w:name="_Toc255555198"/>
      <w:r>
        <w:rPr>
          <w:rFonts w:ascii="Arial" w:hAnsi="Arial" w:cs="Arial"/>
          <w:b/>
          <w:caps/>
        </w:rPr>
        <w:lastRenderedPageBreak/>
        <w:t xml:space="preserve">8.5. </w:t>
      </w:r>
      <w:r w:rsidRPr="009032D8">
        <w:rPr>
          <w:rFonts w:ascii="Arial" w:hAnsi="Arial" w:cs="Arial"/>
          <w:b/>
          <w:caps/>
        </w:rPr>
        <w:t>BALANCED SCORDCARD PARA MERCAPAVA S.A.</w:t>
      </w:r>
      <w:bookmarkEnd w:id="31"/>
      <w:bookmarkEnd w:id="32"/>
      <w:bookmarkEnd w:id="33"/>
      <w:bookmarkEnd w:id="34"/>
    </w:p>
    <w:p w:rsidR="00AA67F2" w:rsidRDefault="00AA67F2" w:rsidP="00AA67F2">
      <w:pPr>
        <w:tabs>
          <w:tab w:val="left" w:pos="2295"/>
          <w:tab w:val="left" w:pos="3663"/>
        </w:tabs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</w:pPr>
      <w:bookmarkStart w:id="35" w:name="_Toc255555276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Cuadro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Cuadro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20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603315"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 xml:space="preserve"> Indicadores de Gestión asociados a la Perspectiva de Crecimiento y Aprendizaje</w:t>
      </w:r>
      <w:bookmarkEnd w:id="35"/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Pr="009032D8" w:rsidRDefault="00AA67F2" w:rsidP="00AA67F2">
      <w:pPr>
        <w:jc w:val="both"/>
        <w:rPr>
          <w:rFonts w:ascii="Arial" w:hAnsi="Arial" w:cs="Arial"/>
          <w:b/>
          <w:caps/>
        </w:rPr>
      </w:pPr>
    </w:p>
    <w:tbl>
      <w:tblPr>
        <w:tblW w:w="8538" w:type="dxa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3076"/>
        <w:gridCol w:w="1368"/>
        <w:gridCol w:w="4094"/>
      </w:tblGrid>
      <w:tr w:rsidR="00AA67F2" w:rsidRPr="00283158" w:rsidTr="00122918">
        <w:trPr>
          <w:trHeight w:val="345"/>
          <w:jc w:val="center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Desempeño del personal</w:t>
            </w:r>
          </w:p>
        </w:tc>
      </w:tr>
      <w:tr w:rsidR="00AA67F2" w:rsidRPr="00283158" w:rsidTr="00122918">
        <w:trPr>
          <w:trHeight w:val="34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I1.01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los resultados producto de la evaluación del desempeño</w:t>
            </w:r>
          </w:p>
        </w:tc>
      </w:tr>
      <w:tr w:rsidR="00AA67F2" w:rsidRPr="00283158" w:rsidTr="00122918">
        <w:trPr>
          <w:trHeight w:val="33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3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3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3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Promedio de calificación específica de los tópicos a evaluar presentes en el formato de evaluación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Escala del 1 al 5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≥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3 &lt; I1.01 &lt;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&lt; 3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Permite evaluar las competencias del personal y su desempeño en la ejecución de sus funciones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Tasa de productividad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I1.02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los resultados producto de la evaluación del desempeño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Trimestral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Evaluaciones específicas por áreas y cargos en unidades producidas y tiempos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I1.02 ≥ 80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50 &lt; I1.01 &lt; 80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&lt; 50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Permite evaluar la productividad de los empleados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Tasa de capacitación del personal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I2.01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Optimizar las competencias laborales y profesionales de los empleados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7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%CP = No. De personas capacitadas x 100</w:t>
            </w:r>
          </w:p>
        </w:tc>
      </w:tr>
      <w:tr w:rsidR="00AA67F2" w:rsidRPr="00283158" w:rsidTr="00122918">
        <w:trPr>
          <w:trHeight w:val="375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No total de trabajadores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I2.01 ≥ 80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50 &lt; I2.01 &lt; 80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I2.01 &lt; 50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Permite evaluar la productividad de los empleados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Ausentismo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I3.01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Mantener en un nivel mínimo los índices de ausentismo y rotación del personal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 AP  =  total de horas / hombre perdidas          x 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total de horas / hombre trabajadas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I3.01 ≥ 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 &lt; I3.01 &lt; 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I3.01 &lt; 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Señala el porcentaje de tiempo no trabajado durante las ausencias, con relación al volumen de actividad esperada o planeada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Rotación del personal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I3.02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Mantener en un nivel mínimo los índices de ausentismo y rotación del personal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%RP =           No. De Admisiones – No. De Retiros          x100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Promedio total de trabajadores en el período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I3.02 ≤ 7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12  ≥ I3.02 &gt; 7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I3.02 &gt; 12</w:t>
            </w:r>
          </w:p>
        </w:tc>
      </w:tr>
      <w:tr w:rsidR="00AA67F2" w:rsidRPr="00283158" w:rsidTr="00122918">
        <w:trPr>
          <w:trHeight w:val="78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Relación porcentual entre el volumen de entradas y salidas y los recursos humanos disponibles en la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organización</w:t>
            </w: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durante cierto período. 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satisfacción y compromiso del empleado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I4.01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Motivación Compromiso del personal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%SP = Nivel de satisfacción resultante de encuestas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I4.01 &gt; 70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50 &lt; I4.01 &lt; 70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I4.01 &lt; 50</w:t>
            </w:r>
          </w:p>
        </w:tc>
      </w:tr>
      <w:tr w:rsidR="00AA67F2" w:rsidRPr="00283158" w:rsidTr="00122918">
        <w:trPr>
          <w:trHeight w:val="78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Pretende determinar el grado de satisfacción del personal, con el objetivo de obtener resultados satisfactorios</w:t>
            </w:r>
          </w:p>
        </w:tc>
      </w:tr>
      <w:tr w:rsidR="00AA67F2" w:rsidRPr="00283158" w:rsidTr="00122918">
        <w:trPr>
          <w:trHeight w:val="33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Salario promedio por empleado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I4.02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Motivación Compromiso del personal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Gestión Humana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Anual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SPE = [(∑ salarios de todos los empleados)  - SMMLV] x 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No. Total de empleados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30% más del SMMLV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I4.02 ≥ 30%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10% &lt; I4.02 &lt; 30%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I4.02 &lt; 10%</w:t>
            </w:r>
          </w:p>
        </w:tc>
      </w:tr>
      <w:tr w:rsidR="00AA67F2" w:rsidRPr="00283158" w:rsidTr="00122918">
        <w:trPr>
          <w:trHeight w:val="75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Determina el porcentaje de variación entre el SMMLV y el salario de Mercapava, como factor de motivación para los empleados.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usuarios de equipos tecnológicos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I5.01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Intensificar el uso de la tecnología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Tecnología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%UT = No. Trabajadores que tienen asignado un equipo de tecnología  x 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                       No. Total de empleados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50%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30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68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I5.01 ≥ 50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15 &lt; I5.01 &lt; 50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30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8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I5.01 &lt; 15</w:t>
            </w:r>
          </w:p>
        </w:tc>
      </w:tr>
      <w:tr w:rsidR="00AA67F2" w:rsidRPr="00283158" w:rsidTr="00122918">
        <w:trPr>
          <w:trHeight w:val="570"/>
          <w:jc w:val="center"/>
        </w:trPr>
        <w:tc>
          <w:tcPr>
            <w:tcW w:w="30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nivel de uso de la tecnología en los procesos diarios de trabajo</w:t>
            </w:r>
          </w:p>
        </w:tc>
      </w:tr>
    </w:tbl>
    <w:p w:rsidR="00AA67F2" w:rsidRDefault="00AA67F2" w:rsidP="00AA67F2"/>
    <w:p w:rsidR="00AA67F2" w:rsidRPr="00283158" w:rsidRDefault="00AA67F2" w:rsidP="00AA67F2">
      <w:pPr>
        <w:tabs>
          <w:tab w:val="left" w:pos="2295"/>
          <w:tab w:val="left" w:pos="3663"/>
        </w:tabs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  <w:r w:rsidRPr="00283158">
        <w:rPr>
          <w:rFonts w:ascii="Arial" w:hAnsi="Arial" w:cs="Arial"/>
          <w:noProof w:val="0"/>
          <w:color w:val="000000"/>
          <w:sz w:val="20"/>
          <w:szCs w:val="20"/>
          <w:lang w:eastAsia="es-CO"/>
        </w:rPr>
        <w:t>Fuente: Elaboración propia</w:t>
      </w:r>
      <w:r w:rsidRPr="00283158">
        <w:rPr>
          <w:rFonts w:ascii="Arial" w:hAnsi="Arial" w:cs="Arial"/>
          <w:noProof w:val="0"/>
          <w:color w:val="000000"/>
          <w:sz w:val="20"/>
          <w:szCs w:val="20"/>
          <w:lang w:eastAsia="es-CO"/>
        </w:rPr>
        <w:tab/>
      </w:r>
      <w:r w:rsidRPr="00283158">
        <w:rPr>
          <w:rFonts w:ascii="Arial" w:hAnsi="Arial" w:cs="Arial"/>
          <w:noProof w:val="0"/>
          <w:color w:val="000000"/>
          <w:sz w:val="20"/>
          <w:szCs w:val="20"/>
          <w:lang w:eastAsia="es-CO"/>
        </w:rPr>
        <w:tab/>
      </w:r>
    </w:p>
    <w:p w:rsidR="00AA67F2" w:rsidRPr="009032D8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36" w:name="_Toc255555277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Cuadro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Cuadro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21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>. Indicadores de Gestión asociados a la Perspectiva de Procesos Internos</w:t>
      </w:r>
      <w:bookmarkEnd w:id="36"/>
    </w:p>
    <w:tbl>
      <w:tblPr>
        <w:tblW w:w="8567" w:type="dxa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2771"/>
        <w:gridCol w:w="1307"/>
        <w:gridCol w:w="4489"/>
      </w:tblGrid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No. De horas de entrega por pedido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P1.01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>Objetivo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Optimizar el tiempo de respuesta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Jefe de Logística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9032D8" w:rsidTr="00122918">
        <w:trPr>
          <w:trHeight w:val="6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Hora de recibo de la mercancía por parte del cliente – Hora de captura del pedido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Horas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24 horas local, 48 horas fuera de Pradera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0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≤ 24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36 &gt; I1.01 &gt; 24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&gt; 36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tiempo de respuesta en atención al cliente y el nivel de eficiencia en los procesos internos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 de estandarización de procesos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P2.01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Fortalecer la gestión operativa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Jefe de Logística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9032D8" w:rsidTr="00122918">
        <w:trPr>
          <w:trHeight w:val="600"/>
          <w:jc w:val="center"/>
        </w:trPr>
        <w:tc>
          <w:tcPr>
            <w:tcW w:w="2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%EP =       No. Procesos Estandarizados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Procesos identificados en la empresa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0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I1.02 ≥ 80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50 &lt; I1.01 &lt; 80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&lt; 50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nivel de calidad en los procesos internos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Tasa de devoluciones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P3.01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Reducir el nivel de devoluciones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Jefe de Logística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9032D8" w:rsidTr="00122918">
        <w:trPr>
          <w:trHeight w:val="6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%DV =  (No. De Notas por Devolución)  x 100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  No de Facturas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AA67F2" w:rsidRPr="009032D8" w:rsidTr="00122918">
        <w:trPr>
          <w:trHeight w:val="315"/>
          <w:jc w:val="center"/>
        </w:trPr>
        <w:tc>
          <w:tcPr>
            <w:tcW w:w="27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30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I2.01 ≤ 7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10 &gt; I2.01 &gt; 7</w:t>
            </w:r>
          </w:p>
        </w:tc>
      </w:tr>
      <w:tr w:rsidR="00AA67F2" w:rsidRPr="009032D8" w:rsidTr="00122918">
        <w:trPr>
          <w:trHeight w:val="300"/>
          <w:jc w:val="center"/>
        </w:trPr>
        <w:tc>
          <w:tcPr>
            <w:tcW w:w="27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I2.01 &gt; 10</w:t>
            </w:r>
          </w:p>
        </w:tc>
      </w:tr>
      <w:tr w:rsidR="00AA67F2" w:rsidRPr="009032D8" w:rsidTr="00122918">
        <w:trPr>
          <w:trHeight w:val="615"/>
          <w:jc w:val="center"/>
        </w:trPr>
        <w:tc>
          <w:tcPr>
            <w:tcW w:w="27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y evalúa la tasa de devoluciones y por ende la eficiencia en la colocación de pedidos</w:t>
            </w:r>
          </w:p>
        </w:tc>
      </w:tr>
    </w:tbl>
    <w:p w:rsidR="00AA67F2" w:rsidRDefault="00AA67F2" w:rsidP="00AA67F2">
      <w:pPr>
        <w:jc w:val="both"/>
        <w:rPr>
          <w:rFonts w:ascii="Arial" w:hAnsi="Arial" w:cs="Arial"/>
          <w:sz w:val="20"/>
          <w:szCs w:val="20"/>
        </w:rPr>
      </w:pPr>
    </w:p>
    <w:p w:rsidR="00AA67F2" w:rsidRDefault="00AA67F2" w:rsidP="00AA67F2">
      <w:pPr>
        <w:tabs>
          <w:tab w:val="left" w:pos="2055"/>
          <w:tab w:val="left" w:pos="3222"/>
        </w:tabs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</w:pPr>
      <w:bookmarkStart w:id="37" w:name="_Toc255555278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Cuadro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Cuadro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22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603315"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>Indicadores de Gestión asociados a la Perspectiva del Cliente</w:t>
      </w:r>
      <w:bookmarkEnd w:id="37"/>
    </w:p>
    <w:tbl>
      <w:tblPr>
        <w:tblW w:w="8549" w:type="dxa"/>
        <w:jc w:val="center"/>
        <w:tblInd w:w="-781" w:type="dxa"/>
        <w:tblCellMar>
          <w:left w:w="70" w:type="dxa"/>
          <w:right w:w="70" w:type="dxa"/>
        </w:tblCellMar>
        <w:tblLook w:val="04A0"/>
      </w:tblPr>
      <w:tblGrid>
        <w:gridCol w:w="2836"/>
        <w:gridCol w:w="1167"/>
        <w:gridCol w:w="4546"/>
      </w:tblGrid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Fidelidad de los clientes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C1.01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Medir y elevar los niveles de fidelización de los clientes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37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Anual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%FC   =    (Clientes del periodo n+1)  x 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Clientes del período n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95%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C1.01 ≥ 90%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65 ≤ I1.01 &lt; 90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&lt; 65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nivel de clientes fieles de un período a otro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Crecimiento en el número de clientes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C2.01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el cubrimiento de la población atendida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45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%PA   =    (No. Clientes periodo n+1)  x 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No. Clientes del período n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10%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C2.01 ≥ 6 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2 ≤ C2.01 &lt; 6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C2.01 &lt; 2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Evalúa el nivel de cobertura de la población objetivo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Cobertura en el número de hogares atendidos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C2.02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el cubrimiento de la población atendida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46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%HA   =    (No. Hogares atendidos actualmente)  x 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No. Hogares Población total objetivo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70%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C2.02 ≥ 60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40 ≤ C2.02 &lt; 60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C2.02 &lt; 40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Expresa el total de la población objetivo impactada a través de la venta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Participación en el mercado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C2.03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Incrementar el cubrimiento de la población atendida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%PM =( Ventas Mercapava S.A. período n)  x100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Ventas del Sector en el período n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C2.03 ≥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2 ≤ C2.03 &lt;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C2.03 &lt; 2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Porcentaje del mercado atendido por Mercapava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Incremento sobre las ventas del período anterior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C3.01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venta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 y Presupuesto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%PM =( Ventas Mercapava S.A. período n)  x100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Ventas del Sector en el período n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15%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C3.01 ≥ 11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7 ≤ C3.01 &lt; 10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C3.01 &lt; 7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Variación porcentual en los niveles de venta en pesos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Aumento en el número de clientes nuevos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C3.02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niveles de venta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%CN =((No. Clientes período n+1)  -1 ) x100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No. Clientes período n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15%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C3.01 ≥ 11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7 ≤ C3.01 &lt; 10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C3.01 &lt; 7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Pretende determinar el grado de satisfacción del personal, con el objetivo de obtener resultados satisfactorios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Nivel de quejas y reclamos 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C4.01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estándares de satisfacción del cliente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%QR = No. Quejas y Reclamos del período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      No. Clientes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0,5%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C4.01 ≤ 0,5%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1% &gt; I4.01 &gt; 0,5%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I4.01 ≥ 1%</w:t>
            </w:r>
          </w:p>
        </w:tc>
      </w:tr>
      <w:tr w:rsidR="00AA67F2" w:rsidRPr="00283158" w:rsidTr="00122918">
        <w:trPr>
          <w:trHeight w:val="57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Establece la tasa de quejas y reclamos, sobre el total de clientes atendidos en un período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Niveles de Satisfacción del cliente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C4.02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Elevar los estándares de satisfacción del cliente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Director de Mercadeo y Ventas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Trimestral</w:t>
            </w:r>
          </w:p>
        </w:tc>
      </w:tr>
      <w:tr w:rsidR="00AA67F2" w:rsidRPr="00283158" w:rsidTr="00122918">
        <w:trPr>
          <w:trHeight w:val="64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Promedio de calificación específica de los tópicos a evaluar presentes en la encuesta de satisfacción del cliente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Escala del 1 al 5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5 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83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>Resultado</w:t>
            </w:r>
          </w:p>
        </w:tc>
        <w:tc>
          <w:tcPr>
            <w:tcW w:w="116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≥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3 &lt; I1.01 &lt;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83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67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I1.01 &lt; 3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nivel de satisfacción de los clientes, con los productos, instalaciones y servicios de la empresa.</w:t>
            </w:r>
          </w:p>
        </w:tc>
      </w:tr>
    </w:tbl>
    <w:p w:rsidR="00AA67F2" w:rsidRDefault="00AA67F2" w:rsidP="00AA67F2">
      <w:pPr>
        <w:jc w:val="both"/>
        <w:rPr>
          <w:rFonts w:ascii="Arial" w:hAnsi="Arial" w:cs="Arial"/>
          <w:b/>
        </w:rPr>
      </w:pPr>
    </w:p>
    <w:p w:rsidR="00AA67F2" w:rsidRDefault="00AA67F2" w:rsidP="00AA67F2">
      <w:pPr>
        <w:tabs>
          <w:tab w:val="left" w:pos="1832"/>
          <w:tab w:val="left" w:pos="2793"/>
        </w:tabs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Pr="00603315" w:rsidRDefault="00AA67F2" w:rsidP="00AA67F2">
      <w:pPr>
        <w:pStyle w:val="Epgrafe"/>
        <w:jc w:val="both"/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</w:pPr>
      <w:bookmarkStart w:id="38" w:name="_Toc255555279"/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Cuadro 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instrText xml:space="preserve"> SEQ Cuadro \* ARABIC </w:instrTex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auto"/>
          <w:sz w:val="24"/>
          <w:szCs w:val="24"/>
        </w:rPr>
        <w:t>23</w:t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3315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603315">
        <w:rPr>
          <w:rFonts w:ascii="Arial" w:hAnsi="Arial" w:cs="Arial"/>
          <w:b w:val="0"/>
          <w:noProof w:val="0"/>
          <w:color w:val="auto"/>
          <w:sz w:val="24"/>
          <w:szCs w:val="24"/>
          <w:lang w:eastAsia="es-CO"/>
        </w:rPr>
        <w:t>Indicadores de Gestión asociados a la Perspectiva Financiera</w:t>
      </w:r>
      <w:bookmarkEnd w:id="38"/>
    </w:p>
    <w:tbl>
      <w:tblPr>
        <w:tblW w:w="8569" w:type="dxa"/>
        <w:jc w:val="center"/>
        <w:tblInd w:w="-923" w:type="dxa"/>
        <w:tblCellMar>
          <w:left w:w="70" w:type="dxa"/>
          <w:right w:w="70" w:type="dxa"/>
        </w:tblCellMar>
        <w:tblLook w:val="04A0"/>
      </w:tblPr>
      <w:tblGrid>
        <w:gridCol w:w="2755"/>
        <w:gridCol w:w="961"/>
        <w:gridCol w:w="4853"/>
      </w:tblGrid>
      <w:tr w:rsidR="00AA67F2" w:rsidRPr="00283158" w:rsidTr="00122918">
        <w:trPr>
          <w:trHeight w:val="315"/>
          <w:jc w:val="center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8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Población directamente beneficiada por programas con la comunidad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S1.01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Impactar positivamente a la comunidad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Gerencia General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45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%PB =  No. de personas beneficias directamente por programas sociales</w:t>
            </w:r>
          </w:p>
        </w:tc>
      </w:tr>
      <w:tr w:rsidR="00AA67F2" w:rsidRPr="00283158" w:rsidTr="00122918">
        <w:trPr>
          <w:trHeight w:val="36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No. de pobladores de la zona de influencia de la empresa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75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961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S1.01 ≥ 2,5%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1% &lt; S1.01 &lt; 2,5%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S1.01 &lt; 1%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 xml:space="preserve">Interpretación 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impacto de los programas sociales de la empresa en la comunidad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58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Posicionamiento en el mercado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S2.01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Mejorar y mantener una excelente imagen corporativa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Responsable del Indicador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Gerencia General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Nivel de comparación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Indicador Meta</w:t>
            </w:r>
          </w:p>
        </w:tc>
      </w:tr>
      <w:tr w:rsidR="00AA67F2" w:rsidRPr="00283158" w:rsidTr="00122918">
        <w:trPr>
          <w:trHeight w:val="600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Periodicidad de actualización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Semestral</w:t>
            </w:r>
          </w:p>
        </w:tc>
      </w:tr>
      <w:tr w:rsidR="00AA67F2" w:rsidRPr="00283158" w:rsidTr="00122918">
        <w:trPr>
          <w:trHeight w:val="675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Definición Operacional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Promedio de calificación específica de los tópicos a evaluar presentes en las encuestas sobre posicionamiento de la empresa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Escala del 1 al 5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Meta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500%</w:t>
            </w:r>
          </w:p>
        </w:tc>
      </w:tr>
      <w:tr w:rsidR="00AA67F2" w:rsidRPr="00283158" w:rsidTr="00122918">
        <w:trPr>
          <w:trHeight w:val="315"/>
          <w:jc w:val="center"/>
        </w:trPr>
        <w:tc>
          <w:tcPr>
            <w:tcW w:w="275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Resultado</w:t>
            </w:r>
          </w:p>
        </w:tc>
        <w:tc>
          <w:tcPr>
            <w:tcW w:w="961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7EEF29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S2.01 ≥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FFC000"/>
              <w:bottom w:val="nil"/>
              <w:right w:val="single" w:sz="8" w:space="0" w:color="FFC000"/>
            </w:tcBorders>
            <w:shd w:val="clear" w:color="000000" w:fill="FFFF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3 &lt; S2.01 &lt; 4</w:t>
            </w:r>
          </w:p>
        </w:tc>
      </w:tr>
      <w:tr w:rsidR="00AA67F2" w:rsidRPr="00283158" w:rsidTr="00122918">
        <w:trPr>
          <w:trHeight w:val="300"/>
          <w:jc w:val="center"/>
        </w:trPr>
        <w:tc>
          <w:tcPr>
            <w:tcW w:w="275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1" w:type="dxa"/>
            <w:tcBorders>
              <w:top w:val="single" w:sz="4" w:space="0" w:color="820000"/>
              <w:left w:val="single" w:sz="4" w:space="0" w:color="820000"/>
              <w:bottom w:val="single" w:sz="4" w:space="0" w:color="820000"/>
              <w:right w:val="single" w:sz="4" w:space="0" w:color="820000"/>
            </w:tcBorders>
            <w:shd w:val="clear" w:color="000000" w:fill="FF0000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 xml:space="preserve">                          S2.01 &lt; 3</w:t>
            </w:r>
          </w:p>
        </w:tc>
      </w:tr>
      <w:tr w:rsidR="00AA67F2" w:rsidRPr="00283158" w:rsidTr="00122918">
        <w:trPr>
          <w:trHeight w:val="615"/>
          <w:jc w:val="center"/>
        </w:trPr>
        <w:tc>
          <w:tcPr>
            <w:tcW w:w="27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lastRenderedPageBreak/>
              <w:t xml:space="preserve">Interpretación 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67F2" w:rsidRPr="00283158" w:rsidRDefault="00AA67F2" w:rsidP="00122918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283158">
              <w:rPr>
                <w:rFonts w:ascii="Arial" w:hAnsi="Arial" w:cs="Arial"/>
                <w:noProof w:val="0"/>
                <w:color w:val="000000"/>
                <w:sz w:val="20"/>
                <w:szCs w:val="20"/>
                <w:lang w:eastAsia="es-CO"/>
              </w:rPr>
              <w:t>Mide el nivel de recordación e identificación de la comunidad con la empresa y sus servicios.</w:t>
            </w:r>
          </w:p>
        </w:tc>
      </w:tr>
    </w:tbl>
    <w:p w:rsidR="00AA67F2" w:rsidRDefault="00AA67F2" w:rsidP="00AA67F2">
      <w:pPr>
        <w:rPr>
          <w:rFonts w:ascii="Arial" w:hAnsi="Arial" w:cs="Arial"/>
          <w:noProof w:val="0"/>
          <w:color w:val="000000"/>
          <w:sz w:val="20"/>
          <w:szCs w:val="20"/>
          <w:lang w:eastAsia="es-CO"/>
        </w:rPr>
      </w:pPr>
    </w:p>
    <w:p w:rsidR="00AA67F2" w:rsidRDefault="00AA67F2" w:rsidP="00AA67F2">
      <w:pPr>
        <w:jc w:val="both"/>
        <w:rPr>
          <w:rFonts w:ascii="Arial" w:hAnsi="Arial" w:cs="Arial"/>
        </w:rPr>
      </w:pPr>
    </w:p>
    <w:p w:rsidR="00AA67F2" w:rsidRPr="009032D8" w:rsidRDefault="00AA67F2" w:rsidP="00AA67F2">
      <w:pPr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La anterior definición de los indicadores por perspectiva, permite dimensionar el Cuadro de Mando Integral o Balanced Scorecard, definido para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Mercapava S.A., a partir del cual se hace posible visualizar desde un único reporte de tipo gerencial, los indicadores financieros y no financieros relevantes para la evaluación de procesos y la toma de decisiones en tiempo real, permitiendo un permanente monitoreo sobre los objetivos estratégicos alineados a las perspectivas de Aprendizaje y Crecimiento, Procesos Internos, Clientes, Financiera y Social.</w:t>
      </w:r>
    </w:p>
    <w:p w:rsidR="00AA67F2" w:rsidRDefault="00AA67F2" w:rsidP="00AA67F2">
      <w:pPr>
        <w:jc w:val="both"/>
        <w:rPr>
          <w:rFonts w:ascii="Arial" w:hAnsi="Arial" w:cs="Arial"/>
          <w:b/>
          <w:caps/>
        </w:rPr>
      </w:pPr>
    </w:p>
    <w:p w:rsidR="00AA67F2" w:rsidRDefault="00AA67F2" w:rsidP="00AA67F2">
      <w:pPr>
        <w:pStyle w:val="Prrafodelista"/>
        <w:ind w:left="0"/>
        <w:jc w:val="both"/>
        <w:outlineLvl w:val="1"/>
        <w:rPr>
          <w:rFonts w:ascii="Arial" w:hAnsi="Arial" w:cs="Arial"/>
          <w:b/>
          <w:caps/>
        </w:rPr>
      </w:pPr>
      <w:bookmarkStart w:id="39" w:name="_Toc255486588"/>
      <w:bookmarkStart w:id="40" w:name="_Toc255486688"/>
      <w:bookmarkStart w:id="41" w:name="_Toc255487719"/>
    </w:p>
    <w:p w:rsidR="00AA67F2" w:rsidRPr="009032D8" w:rsidRDefault="00AA67F2" w:rsidP="00AA67F2">
      <w:pPr>
        <w:pStyle w:val="Prrafodelista"/>
        <w:ind w:left="0"/>
        <w:jc w:val="both"/>
        <w:outlineLvl w:val="0"/>
        <w:rPr>
          <w:rFonts w:ascii="Arial" w:hAnsi="Arial" w:cs="Arial"/>
          <w:b/>
          <w:caps/>
        </w:rPr>
      </w:pPr>
      <w:bookmarkStart w:id="42" w:name="_Toc255555199"/>
      <w:r>
        <w:rPr>
          <w:rFonts w:ascii="Arial" w:hAnsi="Arial" w:cs="Arial"/>
          <w:b/>
          <w:caps/>
        </w:rPr>
        <w:t xml:space="preserve">8.6. </w:t>
      </w:r>
      <w:r w:rsidRPr="009032D8">
        <w:rPr>
          <w:rFonts w:ascii="Arial" w:hAnsi="Arial" w:cs="Arial"/>
          <w:b/>
          <w:caps/>
        </w:rPr>
        <w:t>Planes y mecanismos de acción para implementar el balanced scorecard y garantizar el mejoramiento de la gestión</w:t>
      </w:r>
      <w:bookmarkEnd w:id="39"/>
      <w:bookmarkEnd w:id="40"/>
      <w:bookmarkEnd w:id="41"/>
      <w:bookmarkEnd w:id="42"/>
    </w:p>
    <w:p w:rsidR="00AA67F2" w:rsidRDefault="00AA67F2" w:rsidP="00AA67F2">
      <w:pPr>
        <w:shd w:val="clear" w:color="auto" w:fill="FFFFFF"/>
        <w:jc w:val="both"/>
        <w:rPr>
          <w:rFonts w:ascii="Arial" w:hAnsi="Arial" w:cs="Arial"/>
        </w:rPr>
      </w:pPr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</w:p>
    <w:p w:rsidR="00AA67F2" w:rsidRPr="00A9162B" w:rsidRDefault="00AA67F2" w:rsidP="00AA67F2">
      <w:pPr>
        <w:pStyle w:val="Prrafodelista"/>
        <w:shd w:val="clear" w:color="auto" w:fill="FFFFFF"/>
        <w:ind w:left="0"/>
        <w:jc w:val="both"/>
        <w:outlineLvl w:val="0"/>
        <w:rPr>
          <w:rFonts w:ascii="Arial" w:hAnsi="Arial" w:cs="Arial"/>
          <w:b/>
        </w:rPr>
      </w:pPr>
      <w:bookmarkStart w:id="43" w:name="_Toc255486589"/>
      <w:bookmarkStart w:id="44" w:name="_Toc255486689"/>
      <w:bookmarkStart w:id="45" w:name="_Toc255487720"/>
      <w:bookmarkStart w:id="46" w:name="_Toc255555200"/>
      <w:r>
        <w:rPr>
          <w:rFonts w:ascii="Arial" w:hAnsi="Arial" w:cs="Arial"/>
          <w:b/>
        </w:rPr>
        <w:t xml:space="preserve">8.6.1. </w:t>
      </w:r>
      <w:r w:rsidRPr="00A9162B">
        <w:rPr>
          <w:rFonts w:ascii="Arial" w:hAnsi="Arial" w:cs="Arial"/>
          <w:b/>
        </w:rPr>
        <w:t>Medidas para la implementación del Balance Scorecard</w:t>
      </w:r>
      <w:bookmarkEnd w:id="43"/>
      <w:bookmarkEnd w:id="44"/>
      <w:bookmarkEnd w:id="45"/>
      <w:bookmarkEnd w:id="46"/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>Una vez elegidos y caracterizados los indicadores de gestión y articulados al Balanced Scorecard de la compañía, el paso a seguir es la definición de una metodología que incremente la seguridad acerca de su implementación y funcionamiento.  De esta forma, se sugieren una serie de pasos a realizar, a fin de insertarlo en la cultura organizacional viva de la empresa, destacando una serie de acciones a adelantar para llevar a feliz término dicho objetivo.</w:t>
      </w:r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En general, un sistema de control sobre la gestión directa del Balanced Scorecard se hace necesario para incorporarlo a los lineamientos estratégicos definidos, asegurando que cada una de las cinco perspectivas orientadoras del Plan Estratégico de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, sean desarrolladas, redundando así en el éxito de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. Dicho sistema de control, ha de permitir que los canales de comunicación sean propicios para su conocimiento y posterior difución y funcionamiento, tanto como, para que los sistemas de incentivo y motivación coayuven a que tanto el BSC, como el Plan Estratégico, lleguen a formar prontamente parte de la cultura corporativa que caracterice a la </w:t>
      </w:r>
      <w:r>
        <w:rPr>
          <w:rFonts w:ascii="Arial" w:hAnsi="Arial" w:cs="Arial"/>
        </w:rPr>
        <w:t>Organización</w:t>
      </w:r>
      <w:r w:rsidRPr="009032D8">
        <w:rPr>
          <w:rFonts w:ascii="Arial" w:hAnsi="Arial" w:cs="Arial"/>
        </w:rPr>
        <w:t xml:space="preserve"> Mercapava.</w:t>
      </w:r>
    </w:p>
    <w:p w:rsidR="00AA67F2" w:rsidRDefault="00AA67F2" w:rsidP="00AA67F2">
      <w:pPr>
        <w:shd w:val="clear" w:color="auto" w:fill="FFFFFF"/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  <w:b/>
        </w:rPr>
      </w:pPr>
    </w:p>
    <w:p w:rsidR="00AA67F2" w:rsidRPr="009032D8" w:rsidRDefault="00AA67F2" w:rsidP="00AA67F2">
      <w:pPr>
        <w:pStyle w:val="Prrafodelista"/>
        <w:shd w:val="clear" w:color="auto" w:fill="FFFFFF"/>
        <w:ind w:left="0"/>
        <w:jc w:val="both"/>
        <w:outlineLvl w:val="0"/>
        <w:rPr>
          <w:rFonts w:ascii="Arial" w:hAnsi="Arial" w:cs="Arial"/>
          <w:b/>
        </w:rPr>
      </w:pPr>
      <w:bookmarkStart w:id="47" w:name="_Toc255486590"/>
      <w:bookmarkStart w:id="48" w:name="_Toc255486690"/>
      <w:bookmarkStart w:id="49" w:name="_Toc255487721"/>
      <w:bookmarkStart w:id="50" w:name="_Toc255555201"/>
      <w:r>
        <w:rPr>
          <w:rFonts w:ascii="Arial" w:hAnsi="Arial" w:cs="Arial"/>
          <w:b/>
        </w:rPr>
        <w:t xml:space="preserve">8.6.2. </w:t>
      </w:r>
      <w:r w:rsidRPr="009032D8">
        <w:rPr>
          <w:rFonts w:ascii="Arial" w:hAnsi="Arial" w:cs="Arial"/>
          <w:b/>
        </w:rPr>
        <w:t>¿Cómo conseguir alcanzar la alineación estratégica de arriba abajo y a todo nivel organizacional?</w:t>
      </w:r>
      <w:bookmarkEnd w:id="47"/>
      <w:bookmarkEnd w:id="48"/>
      <w:bookmarkEnd w:id="49"/>
      <w:bookmarkEnd w:id="50"/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</w:p>
    <w:p w:rsidR="00AA67F2" w:rsidRPr="009032D8" w:rsidRDefault="00AA67F2" w:rsidP="00AA67F2">
      <w:pPr>
        <w:shd w:val="clear" w:color="auto" w:fill="FFFFFF"/>
        <w:jc w:val="both"/>
        <w:rPr>
          <w:rFonts w:ascii="Arial" w:hAnsi="Arial" w:cs="Arial"/>
        </w:rPr>
      </w:pPr>
      <w:r w:rsidRPr="009032D8">
        <w:rPr>
          <w:rFonts w:ascii="Arial" w:hAnsi="Arial" w:cs="Arial"/>
        </w:rPr>
        <w:t xml:space="preserve">Según Robet Kaplan y David Norton: “las organizaciones que desen que cada uno de sus empleados contribuya a la implantación de la estrategia compartirán su estrategia y visión a largo plazo –incorporada en el Cuadro de Mando Integral de </w:t>
      </w:r>
      <w:r w:rsidRPr="009032D8">
        <w:rPr>
          <w:rFonts w:ascii="Arial" w:hAnsi="Arial" w:cs="Arial"/>
        </w:rPr>
        <w:lastRenderedPageBreak/>
        <w:t>la unidad de negoico- con ellos, y los animarán de forma activa a que sugieran medios a través de los cuales pueden alcanzar la visión y la estrategia”</w:t>
      </w:r>
      <w:r w:rsidRPr="009032D8">
        <w:rPr>
          <w:rStyle w:val="Refdenotaalpie"/>
          <w:rFonts w:ascii="Arial" w:hAnsi="Arial" w:cs="Arial"/>
        </w:rPr>
        <w:footnoteReference w:id="1"/>
      </w:r>
      <w:r w:rsidRPr="009032D8">
        <w:rPr>
          <w:rFonts w:ascii="Arial" w:hAnsi="Arial" w:cs="Arial"/>
        </w:rPr>
        <w:t xml:space="preserve">. El BSC o Cuadro de Mando, no puede visionarse como una estrategia exclusiva para los directivos, por el contrario, el proceso de alineación estratégica, implica </w:t>
      </w:r>
    </w:p>
    <w:p w:rsidR="00AA67F2" w:rsidRPr="009032D8" w:rsidRDefault="00AA67F2" w:rsidP="00AA67F2">
      <w:pPr>
        <w:rPr>
          <w:rFonts w:ascii="Arial" w:hAnsi="Arial" w:cs="Arial"/>
        </w:rPr>
      </w:pPr>
    </w:p>
    <w:p w:rsidR="00AA67F2" w:rsidRPr="009032D8" w:rsidRDefault="00AA67F2" w:rsidP="00AA67F2">
      <w:pPr>
        <w:rPr>
          <w:rFonts w:ascii="Arial" w:hAnsi="Arial" w:cs="Arial"/>
        </w:rPr>
      </w:pPr>
    </w:p>
    <w:p w:rsidR="00AA67F2" w:rsidRDefault="00AA67F2" w:rsidP="00AA67F2">
      <w:pPr>
        <w:rPr>
          <w:rFonts w:ascii="Arial" w:hAnsi="Arial" w:cs="Arial"/>
        </w:rPr>
      </w:pPr>
    </w:p>
    <w:p w:rsidR="00AA67F2" w:rsidRDefault="00AA67F2" w:rsidP="00AA67F2">
      <w:pPr>
        <w:rPr>
          <w:rFonts w:ascii="Arial" w:hAnsi="Arial" w:cs="Arial"/>
        </w:rPr>
      </w:pPr>
    </w:p>
    <w:p w:rsidR="00AA67F2" w:rsidRPr="009032D8" w:rsidRDefault="00AA67F2" w:rsidP="00AA67F2">
      <w:pPr>
        <w:rPr>
          <w:rFonts w:ascii="Arial" w:hAnsi="Arial" w:cs="Arial"/>
        </w:rPr>
      </w:pPr>
    </w:p>
    <w:p w:rsidR="00E17A97" w:rsidRPr="00E17A97" w:rsidRDefault="00AA67F2" w:rsidP="00E17A97">
      <w:pPr>
        <w:pStyle w:val="Ttulo1"/>
        <w:rPr>
          <w:sz w:val="20"/>
          <w:szCs w:val="20"/>
        </w:rPr>
      </w:pPr>
      <w:r>
        <w:rPr>
          <w:b w:val="0"/>
        </w:rPr>
        <w:br w:type="page"/>
      </w:r>
      <w:bookmarkStart w:id="51" w:name="_Toc255555205"/>
      <w:r w:rsidR="00E17A97" w:rsidRPr="00E17A97">
        <w:rPr>
          <w:sz w:val="20"/>
          <w:szCs w:val="20"/>
        </w:rPr>
        <w:lastRenderedPageBreak/>
        <w:t>BIBLIOGRAFIA</w:t>
      </w:r>
      <w:bookmarkEnd w:id="51"/>
    </w:p>
    <w:p w:rsidR="00E17A97" w:rsidRPr="00E17A97" w:rsidRDefault="00E17A97" w:rsidP="00E17A9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17A97">
        <w:rPr>
          <w:rFonts w:ascii="Arial" w:hAnsi="Arial" w:cs="Arial"/>
          <w:b/>
          <w:sz w:val="20"/>
          <w:szCs w:val="20"/>
        </w:rPr>
        <w:t>AKTOUF,</w:t>
      </w:r>
      <w:r w:rsidRPr="00E17A97">
        <w:rPr>
          <w:rFonts w:ascii="Arial" w:hAnsi="Arial" w:cs="Arial"/>
          <w:sz w:val="20"/>
          <w:szCs w:val="20"/>
        </w:rPr>
        <w:t xml:space="preserve"> Omar. La metodología de las ciencias sociales y el enfoque cualitativo de las organizaciones. Artes Graficas del Valle Ltda. Cali, 2.002.</w:t>
      </w:r>
    </w:p>
    <w:p w:rsidR="00E17A97" w:rsidRPr="00E17A97" w:rsidRDefault="00E17A97" w:rsidP="00E17A97">
      <w:pPr>
        <w:shd w:val="clear" w:color="auto" w:fill="FFFFFF"/>
        <w:ind w:left="426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17A97">
        <w:rPr>
          <w:rFonts w:ascii="Arial" w:hAnsi="Arial" w:cs="Arial"/>
          <w:b/>
          <w:sz w:val="20"/>
          <w:szCs w:val="20"/>
        </w:rPr>
        <w:t>BONILLA CASTRO,</w:t>
      </w:r>
      <w:r w:rsidRPr="00E17A97">
        <w:rPr>
          <w:rFonts w:ascii="Arial" w:hAnsi="Arial" w:cs="Arial"/>
          <w:sz w:val="20"/>
          <w:szCs w:val="20"/>
        </w:rPr>
        <w:t xml:space="preserve"> Elsy y  </w:t>
      </w:r>
      <w:r w:rsidRPr="00E17A97">
        <w:rPr>
          <w:rFonts w:ascii="Arial" w:hAnsi="Arial" w:cs="Arial"/>
          <w:b/>
          <w:sz w:val="20"/>
          <w:szCs w:val="20"/>
        </w:rPr>
        <w:t xml:space="preserve">RODRIGUEZ </w:t>
      </w:r>
      <w:r w:rsidRPr="00E17A97">
        <w:rPr>
          <w:rFonts w:ascii="Arial" w:hAnsi="Arial" w:cs="Arial"/>
          <w:sz w:val="20"/>
          <w:szCs w:val="20"/>
        </w:rPr>
        <w:t xml:space="preserve"> Penélope. Más allá del dilema de los métodos. La Investigación en Ciencias Sociales. 2ª Edición.  Editorial Norma. Bogotá, 1.997.</w:t>
      </w:r>
    </w:p>
    <w:p w:rsidR="00E17A97" w:rsidRPr="00E17A97" w:rsidRDefault="00E17A97" w:rsidP="00E17A97">
      <w:pPr>
        <w:shd w:val="clear" w:color="auto" w:fill="FFFFFF"/>
        <w:ind w:left="426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</w:rPr>
        <w:t>HERNÁNDEZ,</w:t>
      </w:r>
      <w:r w:rsidRPr="00E17A97">
        <w:rPr>
          <w:rFonts w:ascii="Arial" w:hAnsi="Arial" w:cs="Arial"/>
        </w:rPr>
        <w:t xml:space="preserve"> Sampieri, Roberto; </w:t>
      </w:r>
      <w:r w:rsidRPr="00E17A97">
        <w:rPr>
          <w:rFonts w:ascii="Arial" w:hAnsi="Arial" w:cs="Arial"/>
          <w:b/>
        </w:rPr>
        <w:t>FERNÁNDEZ COLLADO,</w:t>
      </w:r>
      <w:r w:rsidRPr="00E17A97">
        <w:rPr>
          <w:rFonts w:ascii="Arial" w:hAnsi="Arial" w:cs="Arial"/>
        </w:rPr>
        <w:t xml:space="preserve"> Carlos, </w:t>
      </w:r>
      <w:r w:rsidRPr="00E17A97">
        <w:rPr>
          <w:rFonts w:ascii="Arial" w:hAnsi="Arial" w:cs="Arial"/>
          <w:b/>
        </w:rPr>
        <w:t>BAPTISTA LUCIO,</w:t>
      </w:r>
      <w:r w:rsidRPr="00E17A97">
        <w:rPr>
          <w:rFonts w:ascii="Arial" w:hAnsi="Arial" w:cs="Arial"/>
        </w:rPr>
        <w:t xml:space="preserve"> Pliar, Metodología de la Investigación. 3ª Edición.  Editorial McGraw Hill. México, </w:t>
      </w:r>
    </w:p>
    <w:p w:rsidR="00E17A97" w:rsidRPr="00E17A97" w:rsidRDefault="00E17A97" w:rsidP="00E17A97">
      <w:pPr>
        <w:shd w:val="clear" w:color="auto" w:fill="FFFFFF"/>
        <w:ind w:left="426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</w:rPr>
        <w:t>HILL,</w:t>
      </w:r>
      <w:r w:rsidRPr="00E17A97">
        <w:rPr>
          <w:rFonts w:ascii="Arial" w:hAnsi="Arial" w:cs="Arial"/>
        </w:rPr>
        <w:t xml:space="preserve"> Charles W., </w:t>
      </w:r>
      <w:r w:rsidRPr="00E17A97">
        <w:rPr>
          <w:rFonts w:ascii="Arial" w:hAnsi="Arial" w:cs="Arial"/>
          <w:b/>
        </w:rPr>
        <w:t>JONES,</w:t>
      </w:r>
      <w:r w:rsidRPr="00E17A97">
        <w:rPr>
          <w:rFonts w:ascii="Arial" w:hAnsi="Arial" w:cs="Arial"/>
        </w:rPr>
        <w:t xml:space="preserve"> Gareth R. Administración Estratégica, un enfoque integrado, Mc Graw Hill. México 2006.</w:t>
      </w: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E17A97">
        <w:rPr>
          <w:rFonts w:ascii="Arial" w:hAnsi="Arial" w:cs="Arial"/>
        </w:rPr>
        <w:t>2003</w:t>
      </w:r>
      <w:r w:rsidRPr="00E17A97">
        <w:rPr>
          <w:rFonts w:ascii="Arial" w:hAnsi="Arial" w:cs="Arial"/>
          <w:b/>
        </w:rPr>
        <w:t>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  <w:b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E17A97">
        <w:rPr>
          <w:rFonts w:ascii="Arial" w:hAnsi="Arial" w:cs="Arial"/>
          <w:b/>
        </w:rPr>
        <w:t xml:space="preserve">KAPLAN, </w:t>
      </w:r>
      <w:r w:rsidRPr="00E17A97">
        <w:rPr>
          <w:rFonts w:ascii="Arial" w:hAnsi="Arial" w:cs="Arial"/>
        </w:rPr>
        <w:t>Robert S. y</w:t>
      </w:r>
      <w:r w:rsidRPr="00E17A97">
        <w:rPr>
          <w:rFonts w:ascii="Arial" w:hAnsi="Arial" w:cs="Arial"/>
          <w:b/>
        </w:rPr>
        <w:t xml:space="preserve"> NORTON, </w:t>
      </w:r>
      <w:r w:rsidRPr="00E17A97">
        <w:rPr>
          <w:rFonts w:ascii="Arial" w:hAnsi="Arial" w:cs="Arial"/>
        </w:rPr>
        <w:t>David. Cuadro de Mando Integral (The Balance ScoreCard). Gestión 2000. 2 ed. Barecelona. 2002. 321 p.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  <w:b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E17A97">
        <w:rPr>
          <w:rFonts w:ascii="Arial" w:hAnsi="Arial" w:cs="Arial"/>
          <w:b/>
        </w:rPr>
        <w:t>MALHOTRA,</w:t>
      </w:r>
      <w:r w:rsidRPr="00E17A97">
        <w:rPr>
          <w:rFonts w:ascii="Arial" w:hAnsi="Arial" w:cs="Arial"/>
        </w:rPr>
        <w:t xml:space="preserve"> narres K. Investigación de Mercados. Un enfoque aplicado. Cuarta Edición. Pearson Educación. México 2004.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  <w:b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E17A97">
        <w:rPr>
          <w:rFonts w:ascii="Arial" w:hAnsi="Arial" w:cs="Arial"/>
          <w:b/>
        </w:rPr>
        <w:t>MCDANIEL,</w:t>
      </w:r>
      <w:r w:rsidRPr="00E17A97">
        <w:rPr>
          <w:rFonts w:ascii="Arial" w:hAnsi="Arial" w:cs="Arial"/>
        </w:rPr>
        <w:t xml:space="preserve"> Carl, </w:t>
      </w:r>
      <w:r w:rsidRPr="00E17A97">
        <w:rPr>
          <w:rFonts w:ascii="Arial" w:hAnsi="Arial" w:cs="Arial"/>
          <w:b/>
        </w:rPr>
        <w:t>GATES,</w:t>
      </w:r>
      <w:r w:rsidRPr="00E17A97">
        <w:rPr>
          <w:rFonts w:ascii="Arial" w:hAnsi="Arial" w:cs="Arial"/>
        </w:rPr>
        <w:t xml:space="preserve"> Roger, Investigación de mercados contemporánea. Internacional Thomson Editores, México, 1999.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</w:rPr>
        <w:t>MENDEZ,</w:t>
      </w:r>
      <w:r w:rsidRPr="00E17A97">
        <w:rPr>
          <w:rFonts w:ascii="Arial" w:hAnsi="Arial" w:cs="Arial"/>
        </w:rPr>
        <w:t xml:space="preserve"> Álvarez, Carlos Eduardo, Metodología, Diseño y Desarrollo del Proceso de Investigación con énfasis en ciencias empresariales. Cuarta Edición. Limusa. Bogotá, 2006.</w:t>
      </w:r>
    </w:p>
    <w:p w:rsidR="00E17A97" w:rsidRPr="00E17A97" w:rsidRDefault="00E17A97" w:rsidP="00E17A97">
      <w:pPr>
        <w:shd w:val="clear" w:color="auto" w:fill="FFFFFF"/>
        <w:ind w:left="426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  <w:lang w:val="en-US"/>
        </w:rPr>
        <w:t>MINTZBERG,</w:t>
      </w:r>
      <w:r w:rsidRPr="00E17A97">
        <w:rPr>
          <w:rFonts w:ascii="Arial" w:hAnsi="Arial" w:cs="Arial"/>
          <w:lang w:val="en-US"/>
        </w:rPr>
        <w:t xml:space="preserve"> Henry, </w:t>
      </w:r>
      <w:r w:rsidRPr="00E17A97">
        <w:rPr>
          <w:rFonts w:ascii="Arial" w:hAnsi="Arial" w:cs="Arial"/>
          <w:b/>
          <w:lang w:val="en-US"/>
        </w:rPr>
        <w:t>AHLSTRAND,</w:t>
      </w:r>
      <w:r w:rsidRPr="00E17A97">
        <w:rPr>
          <w:rFonts w:ascii="Arial" w:hAnsi="Arial" w:cs="Arial"/>
          <w:lang w:val="en-US"/>
        </w:rPr>
        <w:t xml:space="preserve"> Bruce, </w:t>
      </w:r>
      <w:r w:rsidRPr="00E17A97">
        <w:rPr>
          <w:rFonts w:ascii="Arial" w:hAnsi="Arial" w:cs="Arial"/>
          <w:b/>
          <w:lang w:val="en-US"/>
        </w:rPr>
        <w:t>LAMPEL,</w:t>
      </w:r>
      <w:r w:rsidRPr="00E17A97">
        <w:rPr>
          <w:rFonts w:ascii="Arial" w:hAnsi="Arial" w:cs="Arial"/>
          <w:lang w:val="en-US"/>
        </w:rPr>
        <w:t xml:space="preserve"> Joseph. </w:t>
      </w:r>
      <w:r w:rsidRPr="00E17A97">
        <w:rPr>
          <w:rFonts w:ascii="Arial" w:hAnsi="Arial" w:cs="Arial"/>
        </w:rPr>
        <w:t>Safari a la estrategia. Una visita guiada por la jungla del management estratégico. Ediciones Granica S.A. Buenos Aires. 1999.</w:t>
      </w:r>
    </w:p>
    <w:p w:rsidR="00E17A97" w:rsidRPr="00E17A97" w:rsidRDefault="00E17A97" w:rsidP="00E17A97">
      <w:pPr>
        <w:shd w:val="clear" w:color="auto" w:fill="FFFFFF"/>
        <w:ind w:left="426"/>
        <w:jc w:val="both"/>
        <w:rPr>
          <w:rFonts w:ascii="Arial" w:hAnsi="Arial" w:cs="Arial"/>
          <w:sz w:val="20"/>
          <w:szCs w:val="20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</w:rPr>
        <w:t>SALLENAVE,</w:t>
      </w:r>
      <w:r w:rsidRPr="00E17A97">
        <w:rPr>
          <w:rFonts w:ascii="Arial" w:hAnsi="Arial" w:cs="Arial"/>
        </w:rPr>
        <w:t xml:space="preserve"> Jean Paul. Gerencia y Planeación Estratégica. Editorial Norma S.A. Bogotá, 1991.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  <w:lang w:val="es-CO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  <w:bCs/>
          <w:iCs/>
        </w:rPr>
        <w:t>SINGH SOIN,</w:t>
      </w:r>
      <w:r w:rsidRPr="00E17A97">
        <w:rPr>
          <w:rFonts w:ascii="Arial" w:hAnsi="Arial" w:cs="Arial"/>
          <w:bCs/>
          <w:iCs/>
        </w:rPr>
        <w:t xml:space="preserve"> Sarv. Control de Calidad Total. Claves, Metodologías y Administración para el Éxito, McGraw Hill, México, 1998.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</w:rPr>
        <w:t>WHEELEN L.,</w:t>
      </w:r>
      <w:r w:rsidRPr="00E17A97">
        <w:rPr>
          <w:rFonts w:ascii="Arial" w:hAnsi="Arial" w:cs="Arial"/>
        </w:rPr>
        <w:t xml:space="preserve"> Thomas, </w:t>
      </w:r>
      <w:r w:rsidRPr="00E17A97">
        <w:rPr>
          <w:rFonts w:ascii="Arial" w:hAnsi="Arial" w:cs="Arial"/>
          <w:b/>
        </w:rPr>
        <w:t>HUNGER J.,</w:t>
      </w:r>
      <w:r w:rsidRPr="00E17A97">
        <w:rPr>
          <w:rFonts w:ascii="Arial" w:hAnsi="Arial" w:cs="Arial"/>
        </w:rPr>
        <w:t xml:space="preserve"> David, Administración Estratégica y Política de Negocios. Conceptos y Casos. Pearson Educación, México.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  <w:b/>
        </w:rPr>
        <w:t>ZAPATA,</w:t>
      </w:r>
      <w:r w:rsidRPr="00E17A97">
        <w:rPr>
          <w:rFonts w:ascii="Arial" w:hAnsi="Arial" w:cs="Arial"/>
        </w:rPr>
        <w:t xml:space="preserve"> Álvaro. Direccionamiento estratégico: Guía  de aplicación práctica. Cali, 2004.</w:t>
      </w:r>
    </w:p>
    <w:p w:rsidR="00E17A97" w:rsidRPr="00E17A97" w:rsidRDefault="00E17A97" w:rsidP="00E17A97">
      <w:pPr>
        <w:pStyle w:val="Textonotapie"/>
        <w:ind w:left="426"/>
        <w:jc w:val="both"/>
        <w:rPr>
          <w:rFonts w:ascii="Arial" w:hAnsi="Arial" w:cs="Arial"/>
        </w:rPr>
      </w:pPr>
    </w:p>
    <w:p w:rsidR="00E17A97" w:rsidRPr="00E17A97" w:rsidRDefault="00E17A97" w:rsidP="00E17A97">
      <w:pPr>
        <w:pStyle w:val="Textonotapie"/>
        <w:numPr>
          <w:ilvl w:val="0"/>
          <w:numId w:val="11"/>
        </w:numPr>
        <w:jc w:val="both"/>
        <w:rPr>
          <w:rFonts w:ascii="Arial" w:hAnsi="Arial" w:cs="Arial"/>
        </w:rPr>
      </w:pPr>
      <w:r w:rsidRPr="00E17A97">
        <w:rPr>
          <w:rFonts w:ascii="Arial" w:hAnsi="Arial" w:cs="Arial"/>
        </w:rPr>
        <w:t>_________ “El saber administrativo y su método de estudio. Una perspectiva fenomenológica”. Publicado en el libro El discurso administrativo: naturaleza, objeto y método. Medellín, Asociación Colombiana de Facultades de Administración, 2001.</w:t>
      </w:r>
    </w:p>
    <w:p w:rsidR="00885E8A" w:rsidRPr="00E17A97" w:rsidRDefault="00885E8A" w:rsidP="00AA67F2">
      <w:pPr>
        <w:rPr>
          <w:sz w:val="20"/>
          <w:szCs w:val="20"/>
        </w:rPr>
      </w:pPr>
    </w:p>
    <w:sectPr w:rsidR="00885E8A" w:rsidRPr="00E17A97" w:rsidSect="00885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88" w:rsidRDefault="00356288" w:rsidP="00AA67F2">
      <w:r>
        <w:separator/>
      </w:r>
    </w:p>
  </w:endnote>
  <w:endnote w:type="continuationSeparator" w:id="0">
    <w:p w:rsidR="00356288" w:rsidRDefault="00356288" w:rsidP="00AA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88" w:rsidRDefault="00356288" w:rsidP="00AA67F2">
      <w:r>
        <w:separator/>
      </w:r>
    </w:p>
  </w:footnote>
  <w:footnote w:type="continuationSeparator" w:id="0">
    <w:p w:rsidR="00356288" w:rsidRDefault="00356288" w:rsidP="00AA67F2">
      <w:r>
        <w:continuationSeparator/>
      </w:r>
    </w:p>
  </w:footnote>
  <w:footnote w:id="1">
    <w:p w:rsidR="00AA67F2" w:rsidRPr="00BE0037" w:rsidRDefault="00AA67F2" w:rsidP="00AA67F2">
      <w:pPr>
        <w:pStyle w:val="Textonotapie"/>
        <w:jc w:val="both"/>
        <w:rPr>
          <w:rFonts w:ascii="Arial" w:hAnsi="Arial" w:cs="Arial"/>
          <w:b/>
        </w:rPr>
      </w:pPr>
      <w:r w:rsidRPr="00390C2C">
        <w:rPr>
          <w:rStyle w:val="Refdenotaalpie"/>
          <w:rFonts w:ascii="Arial" w:hAnsi="Arial" w:cs="Arial"/>
        </w:rPr>
        <w:footnoteRef/>
      </w:r>
      <w:r w:rsidRPr="00390C2C">
        <w:rPr>
          <w:rFonts w:ascii="Arial" w:hAnsi="Arial" w:cs="Arial"/>
        </w:rPr>
        <w:t xml:space="preserve"> KAPLAN, Robert S. y NORTON, David. Cuadro de Mando Integral (The Balance ScoreCard). Gestión 2000. 2 ed. Barecelona. 2002. p. 213.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abstractNum w:abstractNumId="0">
    <w:nsid w:val="01F95738"/>
    <w:multiLevelType w:val="hybridMultilevel"/>
    <w:tmpl w:val="8326DE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78CD"/>
    <w:multiLevelType w:val="hybridMultilevel"/>
    <w:tmpl w:val="59742110"/>
    <w:lvl w:ilvl="0" w:tplc="0C0A000B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04B6"/>
    <w:multiLevelType w:val="hybridMultilevel"/>
    <w:tmpl w:val="709EE1DC"/>
    <w:lvl w:ilvl="0" w:tplc="540241C0">
      <w:start w:val="1"/>
      <w:numFmt w:val="lowerLetter"/>
      <w:lvlText w:val="%1)"/>
      <w:lvlJc w:val="left"/>
      <w:pPr>
        <w:tabs>
          <w:tab w:val="num" w:pos="-2688"/>
        </w:tabs>
        <w:ind w:left="-2688" w:hanging="360"/>
      </w:pPr>
      <w:rPr>
        <w:rFonts w:hint="default"/>
      </w:rPr>
    </w:lvl>
    <w:lvl w:ilvl="1" w:tplc="F7C49EA0">
      <w:numFmt w:val="none"/>
      <w:lvlText w:val=""/>
      <w:lvlJc w:val="left"/>
      <w:pPr>
        <w:tabs>
          <w:tab w:val="num" w:pos="-3048"/>
        </w:tabs>
      </w:pPr>
    </w:lvl>
    <w:lvl w:ilvl="2" w:tplc="FE76BDE4">
      <w:numFmt w:val="none"/>
      <w:lvlText w:val=""/>
      <w:lvlJc w:val="left"/>
      <w:pPr>
        <w:tabs>
          <w:tab w:val="num" w:pos="-3048"/>
        </w:tabs>
      </w:pPr>
    </w:lvl>
    <w:lvl w:ilvl="3" w:tplc="6FD257E8">
      <w:numFmt w:val="none"/>
      <w:lvlText w:val=""/>
      <w:lvlJc w:val="left"/>
      <w:pPr>
        <w:tabs>
          <w:tab w:val="num" w:pos="-3048"/>
        </w:tabs>
      </w:pPr>
    </w:lvl>
    <w:lvl w:ilvl="4" w:tplc="F42CE00A">
      <w:numFmt w:val="none"/>
      <w:lvlText w:val=""/>
      <w:lvlJc w:val="left"/>
      <w:pPr>
        <w:tabs>
          <w:tab w:val="num" w:pos="-3048"/>
        </w:tabs>
      </w:pPr>
    </w:lvl>
    <w:lvl w:ilvl="5" w:tplc="803AAED4">
      <w:numFmt w:val="none"/>
      <w:lvlText w:val=""/>
      <w:lvlJc w:val="left"/>
      <w:pPr>
        <w:tabs>
          <w:tab w:val="num" w:pos="-3048"/>
        </w:tabs>
      </w:pPr>
    </w:lvl>
    <w:lvl w:ilvl="6" w:tplc="A10A93DA">
      <w:numFmt w:val="none"/>
      <w:lvlText w:val=""/>
      <w:lvlJc w:val="left"/>
      <w:pPr>
        <w:tabs>
          <w:tab w:val="num" w:pos="-3048"/>
        </w:tabs>
      </w:pPr>
    </w:lvl>
    <w:lvl w:ilvl="7" w:tplc="B7164B8E">
      <w:numFmt w:val="none"/>
      <w:lvlText w:val=""/>
      <w:lvlJc w:val="left"/>
      <w:pPr>
        <w:tabs>
          <w:tab w:val="num" w:pos="-3048"/>
        </w:tabs>
      </w:pPr>
    </w:lvl>
    <w:lvl w:ilvl="8" w:tplc="00726B8E">
      <w:numFmt w:val="none"/>
      <w:lvlText w:val=""/>
      <w:lvlJc w:val="left"/>
      <w:pPr>
        <w:tabs>
          <w:tab w:val="num" w:pos="-3048"/>
        </w:tabs>
      </w:pPr>
    </w:lvl>
  </w:abstractNum>
  <w:abstractNum w:abstractNumId="3">
    <w:nsid w:val="0A3370A3"/>
    <w:multiLevelType w:val="hybridMultilevel"/>
    <w:tmpl w:val="5BBE1D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848"/>
    <w:multiLevelType w:val="hybridMultilevel"/>
    <w:tmpl w:val="37B8F29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60941"/>
    <w:multiLevelType w:val="hybridMultilevel"/>
    <w:tmpl w:val="7FDA51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D744B"/>
    <w:multiLevelType w:val="hybridMultilevel"/>
    <w:tmpl w:val="D3E23900"/>
    <w:lvl w:ilvl="0" w:tplc="026EA3A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02591E"/>
    <w:multiLevelType w:val="hybridMultilevel"/>
    <w:tmpl w:val="ED7C5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4D2E"/>
    <w:multiLevelType w:val="multilevel"/>
    <w:tmpl w:val="9754DD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7D7A1D"/>
    <w:multiLevelType w:val="multilevel"/>
    <w:tmpl w:val="57D60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3F4FAB"/>
    <w:multiLevelType w:val="multilevel"/>
    <w:tmpl w:val="62944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6359BC"/>
    <w:multiLevelType w:val="multilevel"/>
    <w:tmpl w:val="0A00F78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C64206"/>
    <w:multiLevelType w:val="hybridMultilevel"/>
    <w:tmpl w:val="57E8BA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532BB"/>
    <w:multiLevelType w:val="multilevel"/>
    <w:tmpl w:val="C9C65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2306CE"/>
    <w:multiLevelType w:val="hybridMultilevel"/>
    <w:tmpl w:val="7C122F16"/>
    <w:lvl w:ilvl="0" w:tplc="B60C6D0A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7DDE"/>
    <w:multiLevelType w:val="hybridMultilevel"/>
    <w:tmpl w:val="E9FAA7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162A5"/>
    <w:multiLevelType w:val="hybridMultilevel"/>
    <w:tmpl w:val="28664C4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83C90"/>
    <w:multiLevelType w:val="multilevel"/>
    <w:tmpl w:val="923CB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CF378CF"/>
    <w:multiLevelType w:val="hybridMultilevel"/>
    <w:tmpl w:val="D41008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A1B"/>
    <w:multiLevelType w:val="hybridMultilevel"/>
    <w:tmpl w:val="562059D4"/>
    <w:lvl w:ilvl="0" w:tplc="0C0A000B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03751"/>
    <w:multiLevelType w:val="multilevel"/>
    <w:tmpl w:val="7F160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6512C8"/>
    <w:multiLevelType w:val="hybridMultilevel"/>
    <w:tmpl w:val="88EC70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4365E6"/>
    <w:multiLevelType w:val="hybridMultilevel"/>
    <w:tmpl w:val="D92A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CE1"/>
    <w:multiLevelType w:val="hybridMultilevel"/>
    <w:tmpl w:val="E83CC3EA"/>
    <w:lvl w:ilvl="0" w:tplc="0C0A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4">
    <w:nsid w:val="4C3C6D64"/>
    <w:multiLevelType w:val="hybridMultilevel"/>
    <w:tmpl w:val="9926E3C6"/>
    <w:lvl w:ilvl="0" w:tplc="92CAF92E">
      <w:start w:val="1"/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C0D10"/>
    <w:multiLevelType w:val="hybridMultilevel"/>
    <w:tmpl w:val="9E7C74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60F84"/>
    <w:multiLevelType w:val="hybridMultilevel"/>
    <w:tmpl w:val="EBB66554"/>
    <w:lvl w:ilvl="0" w:tplc="B60C6D0A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A6B98"/>
    <w:multiLevelType w:val="hybridMultilevel"/>
    <w:tmpl w:val="0C00A7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566CC"/>
    <w:multiLevelType w:val="hybridMultilevel"/>
    <w:tmpl w:val="A37A2E14"/>
    <w:lvl w:ilvl="0" w:tplc="12081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E5FA0"/>
    <w:multiLevelType w:val="hybridMultilevel"/>
    <w:tmpl w:val="53147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36ED6"/>
    <w:multiLevelType w:val="hybridMultilevel"/>
    <w:tmpl w:val="D3EC98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5"/>
  </w:num>
  <w:num w:numId="5">
    <w:abstractNumId w:val="28"/>
  </w:num>
  <w:num w:numId="6">
    <w:abstractNumId w:val="6"/>
  </w:num>
  <w:num w:numId="7">
    <w:abstractNumId w:val="10"/>
  </w:num>
  <w:num w:numId="8">
    <w:abstractNumId w:val="20"/>
  </w:num>
  <w:num w:numId="9">
    <w:abstractNumId w:val="15"/>
  </w:num>
  <w:num w:numId="10">
    <w:abstractNumId w:val="21"/>
  </w:num>
  <w:num w:numId="11">
    <w:abstractNumId w:val="19"/>
  </w:num>
  <w:num w:numId="12">
    <w:abstractNumId w:val="18"/>
  </w:num>
  <w:num w:numId="13">
    <w:abstractNumId w:val="0"/>
  </w:num>
  <w:num w:numId="14">
    <w:abstractNumId w:val="30"/>
  </w:num>
  <w:num w:numId="15">
    <w:abstractNumId w:val="12"/>
  </w:num>
  <w:num w:numId="16">
    <w:abstractNumId w:val="27"/>
  </w:num>
  <w:num w:numId="17">
    <w:abstractNumId w:val="22"/>
  </w:num>
  <w:num w:numId="18">
    <w:abstractNumId w:val="11"/>
  </w:num>
  <w:num w:numId="19">
    <w:abstractNumId w:val="25"/>
  </w:num>
  <w:num w:numId="20">
    <w:abstractNumId w:val="29"/>
  </w:num>
  <w:num w:numId="21">
    <w:abstractNumId w:val="9"/>
  </w:num>
  <w:num w:numId="22">
    <w:abstractNumId w:val="8"/>
  </w:num>
  <w:num w:numId="23">
    <w:abstractNumId w:val="13"/>
  </w:num>
  <w:num w:numId="24">
    <w:abstractNumId w:val="17"/>
  </w:num>
  <w:num w:numId="25">
    <w:abstractNumId w:val="14"/>
  </w:num>
  <w:num w:numId="26">
    <w:abstractNumId w:val="1"/>
  </w:num>
  <w:num w:numId="27">
    <w:abstractNumId w:val="24"/>
  </w:num>
  <w:num w:numId="28">
    <w:abstractNumId w:val="26"/>
  </w:num>
  <w:num w:numId="29">
    <w:abstractNumId w:val="4"/>
  </w:num>
  <w:num w:numId="30">
    <w:abstractNumId w:val="1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F2"/>
    <w:rsid w:val="00356288"/>
    <w:rsid w:val="005C5BEA"/>
    <w:rsid w:val="00885E8A"/>
    <w:rsid w:val="009B55EE"/>
    <w:rsid w:val="00AA67F2"/>
    <w:rsid w:val="00E1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Simple 3" w:uiPriority="0"/>
    <w:lsdException w:name="Table Classic 2" w:uiPriority="0"/>
    <w:lsdException w:name="Table Grid 8" w:uiPriority="0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F2"/>
    <w:pPr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TDC1"/>
    <w:next w:val="Normal"/>
    <w:link w:val="Ttulo1Car"/>
    <w:autoRedefine/>
    <w:qFormat/>
    <w:rsid w:val="00AA67F2"/>
    <w:pPr>
      <w:outlineLvl w:val="0"/>
    </w:pPr>
    <w:rPr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autoRedefine/>
    <w:qFormat/>
    <w:rsid w:val="00AA67F2"/>
    <w:pPr>
      <w:keepNext/>
      <w:numPr>
        <w:ilvl w:val="1"/>
        <w:numId w:val="24"/>
      </w:numPr>
      <w:shd w:val="clear" w:color="auto" w:fill="FFFFFF"/>
      <w:spacing w:line="360" w:lineRule="auto"/>
      <w:ind w:hanging="720"/>
      <w:jc w:val="both"/>
      <w:outlineLvl w:val="1"/>
    </w:pPr>
    <w:rPr>
      <w:rFonts w:ascii="Arial" w:hAnsi="Arial" w:cs="Arial"/>
      <w:b/>
      <w:bCs/>
      <w:iCs/>
      <w:noProof w:val="0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67F2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67F2"/>
    <w:pPr>
      <w:keepNext/>
      <w:shd w:val="clear" w:color="auto" w:fill="F7AFB8"/>
      <w:jc w:val="center"/>
      <w:outlineLvl w:val="4"/>
    </w:pPr>
    <w:rPr>
      <w:rFonts w:ascii="Arial" w:hAnsi="Arial" w:cs="Arial"/>
      <w:b/>
      <w:bCs/>
      <w:noProof w:val="0"/>
      <w:sz w:val="32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AA67F2"/>
    <w:pPr>
      <w:spacing w:before="240" w:after="60"/>
      <w:outlineLvl w:val="5"/>
    </w:pPr>
    <w:rPr>
      <w:rFonts w:ascii="Calibri" w:hAnsi="Calibri"/>
      <w:b/>
      <w:bCs/>
      <w:noProof w:val="0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67F2"/>
    <w:rPr>
      <w:rFonts w:ascii="Arial" w:eastAsia="Times New Roman" w:hAnsi="Arial" w:cs="Arial"/>
      <w:b/>
      <w:bCs/>
      <w:caps/>
      <w:noProof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AA67F2"/>
    <w:rPr>
      <w:rFonts w:ascii="Arial" w:eastAsia="Times New Roman" w:hAnsi="Arial" w:cs="Arial"/>
      <w:b/>
      <w:bCs/>
      <w:iCs/>
      <w:sz w:val="24"/>
      <w:szCs w:val="28"/>
      <w:shd w:val="clear" w:color="auto" w:fill="FFFFFF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67F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67F2"/>
    <w:rPr>
      <w:rFonts w:ascii="Arial" w:eastAsia="Times New Roman" w:hAnsi="Arial" w:cs="Arial"/>
      <w:b/>
      <w:bCs/>
      <w:sz w:val="32"/>
      <w:szCs w:val="20"/>
      <w:shd w:val="clear" w:color="auto" w:fill="F7AFB8"/>
      <w:lang w:eastAsia="es-ES"/>
    </w:rPr>
  </w:style>
  <w:style w:type="character" w:customStyle="1" w:styleId="Ttulo6Car">
    <w:name w:val="Título 6 Car"/>
    <w:basedOn w:val="Fuentedeprrafopredeter"/>
    <w:link w:val="Ttulo6"/>
    <w:rsid w:val="00AA67F2"/>
    <w:rPr>
      <w:rFonts w:ascii="Calibri" w:eastAsia="Times New Roman" w:hAnsi="Calibri" w:cs="Times New Roman"/>
      <w:b/>
      <w:bCs/>
      <w:lang w:eastAsia="es-CO"/>
    </w:rPr>
  </w:style>
  <w:style w:type="paragraph" w:styleId="Textonotapie">
    <w:name w:val="footnote text"/>
    <w:basedOn w:val="Normal"/>
    <w:link w:val="TextonotapieCar"/>
    <w:semiHidden/>
    <w:rsid w:val="00AA67F2"/>
    <w:rPr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67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AA67F2"/>
    <w:rPr>
      <w:vertAlign w:val="superscript"/>
    </w:rPr>
  </w:style>
  <w:style w:type="paragraph" w:styleId="Encabezado">
    <w:name w:val="header"/>
    <w:basedOn w:val="Normal"/>
    <w:link w:val="EncabezadoCar"/>
    <w:rsid w:val="00AA67F2"/>
    <w:pPr>
      <w:tabs>
        <w:tab w:val="center" w:pos="4252"/>
        <w:tab w:val="right" w:pos="8504"/>
      </w:tabs>
    </w:pPr>
    <w:rPr>
      <w:noProof w:val="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A67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A67F2"/>
    <w:pPr>
      <w:tabs>
        <w:tab w:val="center" w:pos="4252"/>
        <w:tab w:val="right" w:pos="8504"/>
      </w:tabs>
    </w:pPr>
    <w:rPr>
      <w:noProof w:val="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67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A67F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A67F2"/>
    <w:rPr>
      <w:color w:val="0000FF"/>
      <w:u w:val="single"/>
    </w:rPr>
  </w:style>
  <w:style w:type="character" w:styleId="Nmerodepgina">
    <w:name w:val="page number"/>
    <w:basedOn w:val="Fuentedeprrafopredeter"/>
    <w:rsid w:val="00AA67F2"/>
  </w:style>
  <w:style w:type="paragraph" w:styleId="TDC1">
    <w:name w:val="toc 1"/>
    <w:basedOn w:val="Normal"/>
    <w:next w:val="Normal"/>
    <w:autoRedefine/>
    <w:uiPriority w:val="39"/>
    <w:qFormat/>
    <w:rsid w:val="00AA67F2"/>
    <w:pPr>
      <w:tabs>
        <w:tab w:val="right" w:pos="8830"/>
      </w:tabs>
      <w:spacing w:before="120" w:after="120"/>
    </w:pPr>
    <w:rPr>
      <w:rFonts w:ascii="Arial" w:hAnsi="Arial" w:cs="Arial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AA67F2"/>
    <w:pPr>
      <w:ind w:left="240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AA67F2"/>
    <w:pPr>
      <w:ind w:left="480"/>
    </w:pPr>
    <w:rPr>
      <w:rFonts w:ascii="Calibri" w:hAnsi="Calibri"/>
      <w:i/>
      <w:iCs/>
      <w:sz w:val="20"/>
      <w:szCs w:val="20"/>
    </w:rPr>
  </w:style>
  <w:style w:type="paragraph" w:styleId="NormalWeb">
    <w:name w:val="Normal (Web)"/>
    <w:basedOn w:val="Normal"/>
    <w:unhideWhenUsed/>
    <w:rsid w:val="00AA67F2"/>
    <w:pPr>
      <w:spacing w:before="100" w:beforeAutospacing="1" w:after="100" w:afterAutospacing="1"/>
    </w:pPr>
    <w:rPr>
      <w:noProof w:val="0"/>
      <w:lang w:eastAsia="es-CO"/>
    </w:rPr>
  </w:style>
  <w:style w:type="paragraph" w:styleId="Prrafodelista">
    <w:name w:val="List Paragraph"/>
    <w:basedOn w:val="Normal"/>
    <w:uiPriority w:val="34"/>
    <w:qFormat/>
    <w:rsid w:val="00AA67F2"/>
    <w:pPr>
      <w:ind w:left="708"/>
    </w:pPr>
    <w:rPr>
      <w:noProof w:val="0"/>
      <w:lang w:val="es-ES" w:eastAsia="es-ES"/>
    </w:rPr>
  </w:style>
  <w:style w:type="character" w:customStyle="1" w:styleId="a">
    <w:name w:val="a"/>
    <w:basedOn w:val="Fuentedeprrafopredeter"/>
    <w:rsid w:val="00AA67F2"/>
  </w:style>
  <w:style w:type="character" w:styleId="Textoennegrita">
    <w:name w:val="Strong"/>
    <w:basedOn w:val="Fuentedeprrafopredeter"/>
    <w:uiPriority w:val="22"/>
    <w:qFormat/>
    <w:rsid w:val="00AA67F2"/>
    <w:rPr>
      <w:b/>
      <w:bCs/>
    </w:rPr>
  </w:style>
  <w:style w:type="character" w:styleId="nfasis">
    <w:name w:val="Emphasis"/>
    <w:basedOn w:val="Fuentedeprrafopredeter"/>
    <w:qFormat/>
    <w:rsid w:val="00AA67F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F2"/>
    <w:rPr>
      <w:rFonts w:ascii="Tahoma" w:eastAsia="Times New Roman" w:hAnsi="Tahoma" w:cs="Tahoma"/>
      <w:noProof/>
      <w:sz w:val="16"/>
      <w:szCs w:val="16"/>
    </w:rPr>
  </w:style>
  <w:style w:type="character" w:customStyle="1" w:styleId="Smbolodenotaalpie">
    <w:name w:val="Símbolo de nota al pie"/>
    <w:rsid w:val="00AA67F2"/>
    <w:rPr>
      <w:vertAlign w:val="superscript"/>
    </w:rPr>
  </w:style>
  <w:style w:type="character" w:customStyle="1" w:styleId="WW-Smbolodenotaalpie1111111">
    <w:name w:val="WW-Símbolo de nota al pie1111111"/>
    <w:rsid w:val="00AA67F2"/>
    <w:rPr>
      <w:vertAlign w:val="superscript"/>
    </w:rPr>
  </w:style>
  <w:style w:type="paragraph" w:customStyle="1" w:styleId="Contenidodelatabla">
    <w:name w:val="Contenido de la tabla"/>
    <w:basedOn w:val="Normal"/>
    <w:rsid w:val="00AA67F2"/>
    <w:pPr>
      <w:widowControl w:val="0"/>
      <w:suppressAutoHyphens/>
      <w:spacing w:after="283"/>
    </w:pPr>
    <w:rPr>
      <w:rFonts w:ascii="sans-serif" w:hAnsi="sans-serif"/>
      <w:noProof w:val="0"/>
      <w:color w:val="FFFFFF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A67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A67F2"/>
    <w:rPr>
      <w:rFonts w:ascii="Times New Roman" w:eastAsia="Times New Roman" w:hAnsi="Times New Roman" w:cs="Times New Roman"/>
      <w:noProof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67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67F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WW-Smbolodenotaalpie111">
    <w:name w:val="WW-Símbolo de nota al pie111"/>
    <w:rsid w:val="00AA67F2"/>
    <w:rPr>
      <w:vertAlign w:val="superscript"/>
    </w:rPr>
  </w:style>
  <w:style w:type="character" w:customStyle="1" w:styleId="WW-Smbolodenotaalpie11111">
    <w:name w:val="WW-Símbolo de nota al pie11111"/>
    <w:rsid w:val="00AA67F2"/>
    <w:rPr>
      <w:vertAlign w:val="superscript"/>
    </w:rPr>
  </w:style>
  <w:style w:type="character" w:customStyle="1" w:styleId="WW-Smbolodenotaalpie111111">
    <w:name w:val="WW-Símbolo de nota al pie111111"/>
    <w:rsid w:val="00AA67F2"/>
    <w:rPr>
      <w:vertAlign w:val="superscript"/>
    </w:rPr>
  </w:style>
  <w:style w:type="paragraph" w:customStyle="1" w:styleId="WW-NormalWeb">
    <w:name w:val="WW-Normal (Web)"/>
    <w:basedOn w:val="Normal"/>
    <w:rsid w:val="00AA67F2"/>
    <w:pPr>
      <w:widowControl w:val="0"/>
      <w:suppressAutoHyphens/>
      <w:spacing w:before="100" w:after="100"/>
    </w:pPr>
    <w:rPr>
      <w:noProof w:val="0"/>
      <w:szCs w:val="20"/>
      <w:lang w:val="es-ES_tradnl" w:eastAsia="es-ES"/>
    </w:rPr>
  </w:style>
  <w:style w:type="paragraph" w:customStyle="1" w:styleId="H4">
    <w:name w:val="H4"/>
    <w:basedOn w:val="Normal"/>
    <w:next w:val="Normal"/>
    <w:rsid w:val="00AA67F2"/>
    <w:pPr>
      <w:keepNext/>
      <w:widowControl w:val="0"/>
      <w:suppressAutoHyphens/>
      <w:spacing w:before="100" w:after="100"/>
    </w:pPr>
    <w:rPr>
      <w:b/>
      <w:noProof w:val="0"/>
      <w:szCs w:val="20"/>
      <w:lang w:eastAsia="es-ES"/>
    </w:rPr>
  </w:style>
  <w:style w:type="paragraph" w:customStyle="1" w:styleId="WW-Sangra3detindependiente">
    <w:name w:val="WW-Sangría 3 de t. independiente"/>
    <w:basedOn w:val="Normal"/>
    <w:rsid w:val="00AA67F2"/>
    <w:pPr>
      <w:widowControl w:val="0"/>
      <w:suppressAutoHyphens/>
      <w:ind w:left="1440" w:hanging="24"/>
      <w:jc w:val="both"/>
    </w:pPr>
    <w:rPr>
      <w:rFonts w:ascii="Arial" w:hAnsi="Arial"/>
      <w:noProof w:val="0"/>
      <w:szCs w:val="20"/>
      <w:lang w:val="es-ES_tradnl" w:eastAsia="es-ES"/>
    </w:rPr>
  </w:style>
  <w:style w:type="table" w:styleId="Tablaconlista8">
    <w:name w:val="Table List 8"/>
    <w:basedOn w:val="Tablanormal"/>
    <w:rsid w:val="00AA67F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8">
    <w:name w:val="Table Grid 8"/>
    <w:basedOn w:val="Tablanormal"/>
    <w:rsid w:val="00AA67F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erpodetexto1">
    <w:name w:val="cuerpodetexto1"/>
    <w:basedOn w:val="Fuentedeprrafopredeter"/>
    <w:rsid w:val="00AA67F2"/>
    <w:rPr>
      <w:rFonts w:ascii="Verdana" w:hAnsi="Verdana" w:hint="default"/>
      <w:color w:val="000000"/>
      <w:sz w:val="16"/>
      <w:szCs w:val="16"/>
    </w:rPr>
  </w:style>
  <w:style w:type="table" w:styleId="Tablaclsica2">
    <w:name w:val="Table Classic 2"/>
    <w:basedOn w:val="Tablanormal"/>
    <w:rsid w:val="00AA67F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A67F2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A67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7F2"/>
    <w:pPr>
      <w:overflowPunct w:val="0"/>
      <w:autoSpaceDE w:val="0"/>
      <w:autoSpaceDN w:val="0"/>
      <w:adjustRightInd w:val="0"/>
      <w:textAlignment w:val="baseline"/>
    </w:pPr>
    <w:rPr>
      <w:noProof w:val="0"/>
      <w:color w:val="00000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7F2"/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A67F2"/>
    <w:pPr>
      <w:spacing w:after="200"/>
    </w:pPr>
    <w:rPr>
      <w:b/>
      <w:bCs/>
      <w:color w:val="4F81BD"/>
      <w:sz w:val="18"/>
      <w:szCs w:val="18"/>
    </w:rPr>
  </w:style>
  <w:style w:type="paragraph" w:customStyle="1" w:styleId="PredeterminadoLTGliederung1">
    <w:name w:val="Predeterminado~LT~Gliederung 1"/>
    <w:uiPriority w:val="99"/>
    <w:rsid w:val="00AA67F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  <w:jc w:val="left"/>
    </w:pPr>
    <w:rPr>
      <w:rFonts w:ascii="Tahoma" w:eastAsia="MS Gothic" w:hAnsi="Tahoma" w:cs="Tahoma"/>
      <w:shadow/>
      <w:color w:val="FFFFFF"/>
      <w:sz w:val="64"/>
      <w:szCs w:val="64"/>
    </w:rPr>
  </w:style>
  <w:style w:type="paragraph" w:customStyle="1" w:styleId="estilo16">
    <w:name w:val="estilo16"/>
    <w:basedOn w:val="Normal"/>
    <w:rsid w:val="00AA67F2"/>
    <w:pPr>
      <w:spacing w:before="100" w:beforeAutospacing="1" w:after="100" w:afterAutospacing="1"/>
    </w:pPr>
    <w:rPr>
      <w:noProof w:val="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7F2"/>
    <w:pPr>
      <w:overflowPunct/>
      <w:autoSpaceDE/>
      <w:autoSpaceDN/>
      <w:adjustRightInd/>
      <w:textAlignment w:val="auto"/>
    </w:pPr>
    <w:rPr>
      <w:b/>
      <w:bCs/>
      <w:noProof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7F2"/>
    <w:rPr>
      <w:b/>
      <w:bCs/>
      <w:noProof/>
    </w:rPr>
  </w:style>
  <w:style w:type="paragraph" w:styleId="Revisin">
    <w:name w:val="Revision"/>
    <w:hidden/>
    <w:uiPriority w:val="99"/>
    <w:semiHidden/>
    <w:rsid w:val="00AA67F2"/>
    <w:pPr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Listaclara-nfasis3">
    <w:name w:val="Light List Accent 3"/>
    <w:basedOn w:val="Tablanormal"/>
    <w:uiPriority w:val="61"/>
    <w:rsid w:val="00AA67F2"/>
    <w:pPr>
      <w:jc w:val="left"/>
    </w:pPr>
    <w:rPr>
      <w:rFonts w:ascii="Calibri" w:eastAsia="Calibri" w:hAnsi="Calibri" w:cs="Times New Roman"/>
      <w:lang w:eastAsia="es-C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AA67F2"/>
    <w:pPr>
      <w:jc w:val="left"/>
    </w:pPr>
    <w:rPr>
      <w:rFonts w:ascii="Calibri" w:eastAsia="Calibri" w:hAnsi="Calibri" w:cs="Times New Roman"/>
      <w:lang w:eastAsia="es-C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AA67F2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AA67F2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A67F2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A67F2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A67F2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A67F2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A67F2"/>
    <w:pPr>
      <w:ind w:left="1920"/>
    </w:pPr>
    <w:rPr>
      <w:rFonts w:ascii="Calibri" w:hAnsi="Calibr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AA67F2"/>
    <w:pPr>
      <w:keepNext/>
      <w:keepLines/>
      <w:spacing w:before="480" w:after="0" w:line="276" w:lineRule="auto"/>
      <w:outlineLvl w:val="9"/>
    </w:pPr>
    <w:rPr>
      <w:rFonts w:ascii="Cambria" w:hAnsi="Cambria" w:cs="Times New Roman"/>
      <w:b w:val="0"/>
      <w:bCs w:val="0"/>
      <w:noProof w:val="0"/>
      <w:color w:val="365F91"/>
      <w:sz w:val="28"/>
      <w:szCs w:val="28"/>
    </w:rPr>
  </w:style>
  <w:style w:type="character" w:styleId="Nmerodelnea">
    <w:name w:val="line number"/>
    <w:basedOn w:val="Fuentedeprrafopredeter"/>
    <w:uiPriority w:val="99"/>
    <w:semiHidden/>
    <w:unhideWhenUsed/>
    <w:rsid w:val="00AA67F2"/>
  </w:style>
  <w:style w:type="table" w:styleId="Cuadrculamedia3-nfasis3">
    <w:name w:val="Medium Grid 3 Accent 3"/>
    <w:basedOn w:val="Tablanormal"/>
    <w:uiPriority w:val="69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uadrculamedia3-nfasis1">
    <w:name w:val="Medium Grid 3 Accent 1"/>
    <w:basedOn w:val="Tablanormal"/>
    <w:uiPriority w:val="69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4">
    <w:name w:val="Light List Accent 4"/>
    <w:basedOn w:val="Tablanormal"/>
    <w:uiPriority w:val="61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AA67F2"/>
    <w:pPr>
      <w:jc w:val="left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AA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4616</Words>
  <Characters>25389</Characters>
  <Application>Microsoft Office Word</Application>
  <DocSecurity>0</DocSecurity>
  <Lines>211</Lines>
  <Paragraphs>59</Paragraphs>
  <ScaleCrop>false</ScaleCrop>
  <Company>POINTPC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</dc:creator>
  <cp:keywords/>
  <dc:description/>
  <cp:lastModifiedBy>FDG</cp:lastModifiedBy>
  <cp:revision>3</cp:revision>
  <dcterms:created xsi:type="dcterms:W3CDTF">2010-06-16T02:01:00Z</dcterms:created>
  <dcterms:modified xsi:type="dcterms:W3CDTF">2010-06-16T02:03:00Z</dcterms:modified>
</cp:coreProperties>
</file>